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9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9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9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9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9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9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9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9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全院医疗设备全维保服务项目</w:t>
      </w:r>
      <w:r>
        <w:rPr>
          <w:rFonts w:ascii="宋体" w:hAnsi="宋体"/>
          <w:bCs/>
          <w:color w:val="000000"/>
          <w:sz w:val="36"/>
          <w:szCs w:val="36"/>
          <w:highlight w:val="none"/>
        </w:rPr>
      </w:r>
      <w:r/>
    </w:p>
    <w:p>
      <w:pPr>
        <w:pStyle w:val="109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JSZC-320400-CTZB-G2026-0050</w:t>
      </w:r>
      <w:r>
        <w:rPr>
          <w:rFonts w:ascii="宋体" w:hAnsi="宋体"/>
          <w:bCs/>
          <w:color w:val="000000"/>
          <w:sz w:val="36"/>
          <w:szCs w:val="36"/>
          <w:highlight w:val="none"/>
        </w:rPr>
      </w:r>
      <w:r/>
    </w:p>
    <w:p>
      <w:pPr>
        <w:pStyle w:val="109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常州市第七人民医院</w:t>
      </w:r>
      <w:r>
        <w:rPr>
          <w:rFonts w:ascii="宋体" w:hAnsi="宋体"/>
          <w:bCs/>
          <w:color w:val="000000"/>
          <w:sz w:val="36"/>
          <w:szCs w:val="36"/>
          <w:highlight w:val="none"/>
        </w:rPr>
      </w:r>
      <w:r/>
    </w:p>
    <w:p>
      <w:pPr>
        <w:pStyle w:val="109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9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9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92"/>
        <w:rPr>
          <w:rFonts w:ascii="宋体" w:hAnsi="宋体"/>
          <w:color w:val="000000"/>
          <w:highlight w:val="none"/>
        </w:rPr>
      </w:pPr>
      <w:r>
        <w:rPr>
          <w:rFonts w:ascii="宋体" w:hAnsi="宋体"/>
          <w:color w:val="000000"/>
          <w:highlight w:val="none"/>
        </w:rPr>
      </w:r>
      <w:r/>
    </w:p>
    <w:p>
      <w:pPr>
        <w:pStyle w:val="1092"/>
        <w:rPr>
          <w:rFonts w:ascii="宋体" w:hAnsi="宋体"/>
          <w:color w:val="000000"/>
          <w:highlight w:val="none"/>
        </w:rPr>
      </w:pPr>
      <w:r>
        <w:rPr>
          <w:rFonts w:ascii="宋体" w:hAnsi="宋体"/>
          <w:color w:val="000000"/>
          <w:highlight w:val="none"/>
        </w:rPr>
      </w:r>
      <w:r/>
    </w:p>
    <w:p>
      <w:pPr>
        <w:pStyle w:val="1092"/>
        <w:rPr>
          <w:rFonts w:ascii="宋体" w:hAnsi="宋体"/>
          <w:color w:val="000000"/>
          <w:highlight w:val="none"/>
        </w:rPr>
      </w:pPr>
      <w:r>
        <w:rPr>
          <w:rFonts w:ascii="宋体" w:hAnsi="宋体"/>
          <w:color w:val="000000"/>
          <w:highlight w:val="none"/>
        </w:rPr>
      </w:r>
      <w:r/>
    </w:p>
    <w:p>
      <w:pPr>
        <w:pStyle w:val="114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7"/>
          <w:color w:val="000000"/>
          <w:sz w:val="32"/>
          <w:szCs w:val="32"/>
          <w:highlight w:val="none"/>
        </w:rPr>
        <w:t xml:space="preserve">第三章   资</w:t>
      </w:r>
      <w:bookmarkStart w:id="1" w:name="_Hlt100754117"/>
      <w:r>
        <w:rPr>
          <w:rStyle w:val="1167"/>
          <w:color w:val="000000"/>
          <w:sz w:val="32"/>
          <w:szCs w:val="32"/>
          <w:highlight w:val="none"/>
        </w:rPr>
        <w:t xml:space="preserve">格</w:t>
      </w:r>
      <w:bookmarkEnd w:id="1"/>
      <w:r>
        <w:rPr>
          <w:rStyle w:val="116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7"/>
          <w:color w:val="000000"/>
          <w:sz w:val="32"/>
          <w:szCs w:val="32"/>
          <w:highlight w:val="none"/>
        </w:rPr>
        <w:t xml:space="preserve">第五章   采购</w:t>
      </w:r>
      <w:bookmarkStart w:id="2" w:name="_Hlt100754103"/>
      <w:r/>
      <w:bookmarkStart w:id="3" w:name="_Hlt100754102"/>
      <w:r>
        <w:rPr>
          <w:rStyle w:val="1167"/>
          <w:color w:val="000000"/>
          <w:sz w:val="32"/>
          <w:szCs w:val="32"/>
          <w:highlight w:val="none"/>
        </w:rPr>
        <w:t xml:space="preserve">需</w:t>
      </w:r>
      <w:bookmarkEnd w:id="2"/>
      <w:r/>
      <w:bookmarkEnd w:id="3"/>
      <w:r>
        <w:rPr>
          <w:rStyle w:val="116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9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9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常州市第七人民医院</w:t>
      </w:r>
      <w:r>
        <w:rPr>
          <w:rFonts w:hint="eastAsia" w:ascii="仿宋" w:hAnsi="仿宋" w:eastAsia="仿宋"/>
          <w:color w:val="000000"/>
          <w:sz w:val="32"/>
          <w:szCs w:val="32"/>
          <w:highlight w:val="none"/>
          <w:lang w:eastAsia="zh-CN"/>
        </w:rPr>
        <w:t xml:space="preserve">全院医疗设备全维保服务项目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06</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94"/>
        <w:ind w:firstLine="643"/>
        <w:jc w:val="left"/>
        <w:spacing w:before="240" w:line="360" w:lineRule="auto"/>
        <w:rPr>
          <w:rFonts w:ascii="仿宋" w:hAnsi="仿宋" w:eastAsia="仿宋"/>
          <w:color w:val="000000"/>
          <w:sz w:val="32"/>
          <w:szCs w:val="32"/>
          <w:highlight w:val="none"/>
        </w:rPr>
      </w:pPr>
      <w:r/>
      <w:bookmarkStart w:id="5" w:name="_Toc28359002"/>
      <w:r/>
      <w:bookmarkStart w:id="6" w:name="_Toc35393621"/>
      <w:r/>
      <w:bookmarkStart w:id="7" w:name="_Toc35393790"/>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JSZC-320400-CTZB-G2026-0050</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常州市第七人民医院</w:t>
      </w:r>
      <w:r>
        <w:rPr>
          <w:rFonts w:hint="eastAsia" w:ascii="仿宋" w:hAnsi="仿宋" w:eastAsia="仿宋"/>
          <w:color w:val="000000"/>
          <w:sz w:val="32"/>
          <w:szCs w:val="32"/>
          <w:highlight w:val="none"/>
          <w:lang w:eastAsia="zh-CN"/>
        </w:rPr>
        <w:t xml:space="preserve">全院医疗设备全维保服务项目</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380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/年</w:t>
      </w:r>
      <w:r>
        <w:rPr>
          <w:rFonts w:ascii="仿宋" w:hAnsi="仿宋" w:eastAsia="仿宋"/>
          <w:color w:val="000000"/>
          <w:sz w:val="32"/>
          <w:szCs w:val="32"/>
          <w:highlight w:val="none"/>
          <w:lang w:val="en-US" w:eastAsia="zh-CN"/>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380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/年</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9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9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9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9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9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9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9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92"/>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eastAsia="zh-CN"/>
              </w:rPr>
              <w:t xml:space="preserve">全院医疗设备全维保服务</w:t>
            </w:r>
            <w:r>
              <w:rPr>
                <w:rFonts w:ascii="仿宋" w:hAnsi="仿宋" w:eastAsia="仿宋"/>
                <w:bCs/>
                <w:color w:val="000000"/>
                <w:sz w:val="32"/>
                <w:szCs w:val="32"/>
                <w:highlight w:val="none"/>
              </w:rPr>
            </w:r>
            <w:r/>
          </w:p>
        </w:tc>
        <w:tc>
          <w:tcPr>
            <w:tcW w:w="920" w:type="dxa"/>
            <w:vAlign w:val="center"/>
            <w:textDirection w:val="lrTb"/>
            <w:noWrap w:val="false"/>
          </w:tcPr>
          <w:p>
            <w:pPr>
              <w:pStyle w:val="109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w:t>
            </w:r>
            <w:r>
              <w:rPr>
                <w:rFonts w:hint="eastAsia" w:ascii="仿宋" w:hAnsi="仿宋" w:eastAsia="仿宋"/>
                <w:bCs/>
                <w:color w:val="000000"/>
                <w:sz w:val="32"/>
                <w:szCs w:val="32"/>
                <w:highlight w:val="none"/>
                <w:lang w:val="en-US" w:eastAsia="zh-CN"/>
              </w:rPr>
              <w:t xml:space="preserve">80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9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lang w:val="en-US" w:eastAsia="zh-CN"/>
              </w:rPr>
              <w:t xml:space="preserve">1</w:t>
            </w:r>
            <w:r>
              <w:rPr>
                <w:rFonts w:hint="eastAsia" w:ascii="仿宋" w:hAnsi="仿宋" w:eastAsia="仿宋"/>
                <w:bCs/>
                <w:color w:val="000000"/>
                <w:sz w:val="32"/>
                <w:szCs w:val="32"/>
                <w:highlight w:val="none"/>
              </w:rPr>
              <w:t xml:space="preserve">年</w:t>
            </w:r>
            <w:r>
              <w:rPr>
                <w:rFonts w:ascii="仿宋" w:hAnsi="仿宋" w:eastAsia="仿宋"/>
                <w:bCs/>
                <w:color w:val="000000"/>
                <w:sz w:val="32"/>
                <w:szCs w:val="32"/>
                <w:highlight w:val="none"/>
              </w:rPr>
            </w:r>
            <w:r/>
          </w:p>
        </w:tc>
        <w:tc>
          <w:tcPr>
            <w:tcW w:w="2314" w:type="dxa"/>
            <w:vAlign w:val="center"/>
            <w:textDirection w:val="lrTb"/>
            <w:noWrap w:val="false"/>
          </w:tcPr>
          <w:p>
            <w:pPr>
              <w:pStyle w:val="1092"/>
              <w:jc w:val="left"/>
              <w:rPr>
                <w:rFonts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全</w:t>
            </w:r>
            <w:r>
              <w:rPr>
                <w:rFonts w:hint="eastAsia" w:ascii="仿宋" w:hAnsi="仿宋" w:eastAsia="仿宋"/>
                <w:color w:val="000000"/>
                <w:sz w:val="32"/>
                <w:szCs w:val="32"/>
                <w:highlight w:val="none"/>
              </w:rPr>
              <w:t xml:space="preserve">院医疗器械全生命周期管理，包含但不限于更换或维修（含零配件及非一次性易耗品）、技术安全检查管理、预防性维护保养管理、巡检、设备应急调配、资产盘点、质量控制检测、不良事件管理、配合上级各项检查、设备培训、提供备用机服务、提供设备等医学装备科承担的服务内容，并提供适用于全生命周期管理的应用软件，该软件在项目结束后所有权归医院。</w:t>
            </w:r>
            <w:r>
              <w:rPr>
                <w:rFonts w:ascii="仿宋" w:hAnsi="仿宋" w:eastAsia="仿宋"/>
                <w:color w:val="000000"/>
                <w:sz w:val="32"/>
                <w:szCs w:val="32"/>
                <w:highlight w:val="none"/>
              </w:rPr>
            </w:r>
            <w:r/>
          </w:p>
        </w:tc>
      </w:tr>
    </w:tbl>
    <w:p>
      <w:pPr>
        <w:pStyle w:val="109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合同履行期限：三年，合同一年一签。前一年合同期满，经采购人考核合格后方可续签下一年合同。</w:t>
      </w:r>
      <w:r>
        <w:rPr>
          <w:rFonts w:ascii="仿宋" w:hAnsi="仿宋" w:eastAsia="仿宋"/>
          <w:color w:val="000000"/>
          <w:sz w:val="32"/>
          <w:szCs w:val="32"/>
          <w:highlight w:val="none"/>
          <w:u w:val="single"/>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94"/>
        <w:ind w:firstLine="643"/>
        <w:jc w:val="left"/>
        <w:spacing w:before="0" w:line="360" w:lineRule="auto"/>
        <w:rPr>
          <w:rFonts w:ascii="仿宋" w:hAnsi="仿宋" w:eastAsia="仿宋"/>
          <w:color w:val="000000"/>
          <w:sz w:val="32"/>
          <w:szCs w:val="32"/>
          <w:highlight w:val="none"/>
        </w:rPr>
      </w:pPr>
      <w:r/>
      <w:bookmarkStart w:id="10" w:name="_Toc28359080"/>
      <w:r/>
      <w:bookmarkStart w:id="11" w:name="_Toc28359003"/>
      <w:r/>
      <w:bookmarkStart w:id="12" w:name="_Toc35393791"/>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9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9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9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9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9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9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9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9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9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9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9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9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06</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9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94"/>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794"/>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9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9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9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9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9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9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94"/>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08"/>
      <w:r/>
      <w:bookmarkStart w:id="30" w:name="_Toc35393796"/>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9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9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称：常州市第七人民医院 </w:t>
      </w:r>
      <w:r>
        <w:rPr>
          <w:rFonts w:hint="eastAsia" w:ascii="仿宋" w:hAnsi="仿宋" w:eastAsia="仿宋"/>
          <w:color w:val="000000"/>
          <w:sz w:val="32"/>
          <w:szCs w:val="32"/>
          <w:highlight w:val="none"/>
        </w:rPr>
      </w:r>
      <w:r/>
    </w:p>
    <w:p>
      <w:pPr>
        <w:pStyle w:val="1092"/>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olor w:val="000000"/>
          <w:sz w:val="32"/>
          <w:szCs w:val="32"/>
          <w:highlight w:val="none"/>
        </w:rPr>
        <w:t xml:space="preserve">地   </w:t>
      </w:r>
      <w:r>
        <w:rPr>
          <w:rFonts w:hint="eastAsia" w:ascii="仿宋" w:hAnsi="仿宋" w:eastAsia="仿宋" w:cs="Times New Roman"/>
          <w:color w:val="000000"/>
          <w:sz w:val="32"/>
          <w:szCs w:val="32"/>
          <w:highlight w:val="none"/>
        </w:rPr>
        <w:t xml:space="preserve"> 址：常州市延陵东路288号</w:t>
      </w:r>
      <w:r>
        <w:rPr>
          <w:rFonts w:hint="eastAsia" w:ascii="仿宋" w:hAnsi="仿宋" w:eastAsia="仿宋" w:cs="Times New Roman"/>
          <w:color w:val="000000"/>
          <w:sz w:val="32"/>
          <w:szCs w:val="32"/>
          <w:highlight w:val="none"/>
        </w:rPr>
      </w:r>
      <w:r/>
    </w:p>
    <w:p>
      <w:pPr>
        <w:pStyle w:val="1092"/>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联系人：王先生</w:t>
      </w:r>
      <w:r>
        <w:rPr>
          <w:rFonts w:hint="eastAsia" w:ascii="仿宋" w:hAnsi="仿宋" w:eastAsia="仿宋" w:cs="Times New Roman"/>
          <w:color w:val="000000"/>
          <w:sz w:val="32"/>
          <w:szCs w:val="32"/>
          <w:highlight w:val="none"/>
        </w:rPr>
      </w:r>
      <w:r/>
    </w:p>
    <w:p>
      <w:pPr>
        <w:pStyle w:val="1092"/>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联系电话：0519-69800516</w:t>
      </w:r>
      <w:r>
        <w:rPr>
          <w:rFonts w:hint="eastAsia" w:ascii="仿宋" w:hAnsi="仿宋" w:eastAsia="仿宋" w:cs="Times New Roman"/>
          <w:color w:val="000000"/>
          <w:sz w:val="32"/>
          <w:szCs w:val="32"/>
          <w:highlight w:val="none"/>
        </w:rPr>
      </w:r>
      <w:r/>
    </w:p>
    <w:p>
      <w:pPr>
        <w:pStyle w:val="109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9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9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9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9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92"/>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w:t>
      </w:r>
      <w:r>
        <w:rPr>
          <w:rFonts w:hint="eastAsia" w:ascii="仿宋" w:hAnsi="仿宋" w:eastAsia="仿宋"/>
          <w:color w:val="000000"/>
          <w:sz w:val="32"/>
          <w:szCs w:val="32"/>
          <w:highlight w:val="none"/>
          <w:lang w:eastAsia="zh-CN"/>
        </w:rPr>
      </w:r>
      <w:r/>
    </w:p>
    <w:p>
      <w:pPr>
        <w:pStyle w:val="109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w:t>
      </w:r>
      <w:r>
        <w:rPr>
          <w:rFonts w:hint="eastAsia" w:ascii="仿宋" w:hAnsi="仿宋" w:eastAsia="仿宋"/>
          <w:color w:val="000000"/>
          <w:sz w:val="32"/>
          <w:szCs w:val="32"/>
          <w:highlight w:val="none"/>
          <w:lang w:val="en-US" w:eastAsia="zh-CN"/>
        </w:rPr>
        <w:t xml:space="preserve">34</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9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226965856"/>
      <w:r/>
      <w:bookmarkStart w:id="38" w:name="_Toc305158854"/>
      <w:r/>
      <w:bookmarkStart w:id="39" w:name="_Toc265228423"/>
      <w:r/>
      <w:bookmarkStart w:id="40" w:name="_Toc195842950"/>
      <w:r/>
      <w:bookmarkStart w:id="41" w:name="_Toc353873938"/>
      <w:r/>
      <w:bookmarkStart w:id="42" w:name="_Toc264969275"/>
      <w:r/>
      <w:bookmarkStart w:id="43" w:name="_Toc512937850"/>
      <w:r/>
      <w:bookmarkStart w:id="44" w:name="_Toc99301420"/>
      <w:r/>
      <w:bookmarkStart w:id="45" w:name="_Toc150774783"/>
      <w:r/>
      <w:bookmarkStart w:id="46" w:name="_Toc353825548"/>
      <w:r/>
      <w:bookmarkStart w:id="47" w:name="_Toc305158928"/>
      <w:r/>
      <w:bookmarkStart w:id="48" w:name="_Toc127151777"/>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94"/>
        <w:spacing w:before="0" w:line="360" w:lineRule="auto"/>
        <w:tabs>
          <w:tab w:val="center" w:pos="4592" w:leader="none"/>
          <w:tab w:val="left" w:pos="7860" w:leader="none"/>
        </w:tabs>
        <w:rPr>
          <w:rFonts w:ascii="宋体" w:hAnsi="宋体" w:eastAsia="宋体"/>
          <w:color w:val="000000"/>
          <w:sz w:val="28"/>
          <w:highlight w:val="none"/>
        </w:rPr>
      </w:pPr>
      <w:r/>
      <w:bookmarkStart w:id="49" w:name="_Toc195842884"/>
      <w:r/>
      <w:bookmarkStart w:id="50" w:name="_Toc226337215"/>
      <w:r/>
      <w:bookmarkStart w:id="51" w:name="_Toc127161433"/>
      <w:r/>
      <w:bookmarkStart w:id="52" w:name="_Toc151193617"/>
      <w:r/>
      <w:bookmarkStart w:id="53" w:name="_Toc226965792"/>
      <w:r/>
      <w:bookmarkStart w:id="54" w:name="_Toc151193833"/>
      <w:r/>
      <w:bookmarkStart w:id="55" w:name="_Toc151190146"/>
      <w:r/>
      <w:bookmarkStart w:id="56" w:name="_Toc151193689"/>
      <w:r/>
      <w:bookmarkStart w:id="57" w:name="_Toc164229214"/>
      <w:r/>
      <w:bookmarkStart w:id="58" w:name="_Toc226309763"/>
      <w:r/>
      <w:bookmarkStart w:id="59" w:name="_Toc150509270"/>
      <w:r/>
      <w:bookmarkStart w:id="60" w:name="_Toc164351613"/>
      <w:r/>
      <w:bookmarkStart w:id="61" w:name="_Toc127151519"/>
      <w:r/>
      <w:bookmarkStart w:id="62" w:name="_Toc151193761"/>
      <w:r/>
      <w:bookmarkStart w:id="63" w:name="_Toc150480757"/>
      <w:r/>
      <w:bookmarkStart w:id="64" w:name="_Toc150774724"/>
      <w:r/>
      <w:bookmarkStart w:id="65" w:name="_Toc226965709"/>
      <w:r/>
      <w:bookmarkStart w:id="66" w:name="_Toc150774619"/>
      <w:r/>
      <w:bookmarkStart w:id="67" w:name="_Toc164229360"/>
      <w:r/>
      <w:bookmarkStart w:id="68" w:name="_Toc164608633"/>
      <w:r/>
      <w:bookmarkStart w:id="69" w:name="_Toc164608788"/>
      <w:r/>
      <w:bookmarkStart w:id="70" w:name="_Toc149720812"/>
      <w:r/>
      <w:bookmarkStart w:id="71" w:name="_Toc142311021"/>
      <w:r/>
      <w:bookmarkStart w:id="72" w:name="_Toc127151720"/>
      <w:r/>
      <w:bookmarkStart w:id="73" w:name="_Toc151193907"/>
      <w:r/>
      <w:bookmarkStart w:id="74"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92"/>
        <w:jc w:val="center"/>
        <w:rPr>
          <w:rFonts w:ascii="宋体" w:hAnsi="宋体"/>
          <w:b/>
          <w:color w:val="000000"/>
          <w:sz w:val="28"/>
          <w:szCs w:val="28"/>
          <w:highlight w:val="none"/>
        </w:rPr>
      </w:pPr>
      <w:r>
        <w:rPr>
          <w:rFonts w:ascii="宋体" w:hAnsi="宋体"/>
          <w:b/>
          <w:color w:val="000000"/>
          <w:sz w:val="28"/>
          <w:szCs w:val="28"/>
          <w:highlight w:val="none"/>
        </w:rPr>
      </w:r>
      <w:r/>
    </w:p>
    <w:p>
      <w:pPr>
        <w:pStyle w:val="10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9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9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9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3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31"/>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92"/>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9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3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9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9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9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9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9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92"/>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4;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-113029</wp:posOffset>
                            </wp:positionH>
                            <wp:positionV relativeFrom="paragraph">
                              <wp:posOffset>-5079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92"/>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92"/>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3;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92"/>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92"/>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92"/>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92"/>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服务类</w:t>
                  </w:r>
                  <w:r>
                    <w:rPr>
                      <w:rFonts w:hint="eastAsia" w:ascii="宋体" w:hAnsi="宋体" w:eastAsia="宋体" w:cs="宋体"/>
                      <w:bCs/>
                      <w:color w:val="000000"/>
                      <w:szCs w:val="21"/>
                      <w:highlight w:val="none"/>
                      <w:lang w:eastAsia="zh-CN"/>
                    </w:rPr>
                  </w:r>
                  <w:r/>
                </w:p>
              </w:tc>
            </w:tr>
            <w:tr>
              <w:trPr/>
              <w:tc>
                <w:tcPr>
                  <w:tcW w:w="3023" w:type="dxa"/>
                  <w:vAlign w:val="top"/>
                  <w:textDirection w:val="lrTb"/>
                  <w:noWrap w:val="false"/>
                </w:tcPr>
                <w:p>
                  <w:pPr>
                    <w:pStyle w:val="109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9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9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92"/>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3023" w:type="dxa"/>
                  <w:vAlign w:val="center"/>
                  <w:textDirection w:val="lrTb"/>
                  <w:noWrap w:val="false"/>
                </w:tcPr>
                <w:p>
                  <w:pPr>
                    <w:pStyle w:val="109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92"/>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0.45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3023" w:type="dxa"/>
                  <w:vAlign w:val="top"/>
                  <w:textDirection w:val="lrTb"/>
                  <w:noWrap w:val="false"/>
                </w:tcPr>
                <w:p>
                  <w:pPr>
                    <w:pStyle w:val="109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407" w:type="dxa"/>
                  <w:vAlign w:val="top"/>
                  <w:textDirection w:val="lrTb"/>
                  <w:noWrap w:val="false"/>
                </w:tcPr>
                <w:p>
                  <w:pPr>
                    <w:pStyle w:val="109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9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92"/>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每年代理费</w:t>
            </w:r>
            <w:r>
              <w:rPr>
                <w:rFonts w:hint="eastAsia" w:ascii="宋体" w:hAnsi="宋体" w:cs="宋体"/>
                <w:b/>
                <w:color w:val="000000"/>
                <w:sz w:val="24"/>
                <w:highlight w:val="none"/>
              </w:rPr>
              <w:t xml:space="preserve">按照上述标准的</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92"/>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元的，按人民币</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元收取。</w:t>
            </w: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中标人应在领取中标通知书时将三年代理费支付至常州市城投建设工程招标有限公司账户。</w:t>
            </w:r>
            <w:r>
              <w:rPr>
                <w:rFonts w:hint="eastAsia" w:ascii="宋体" w:hAnsi="宋体" w:cs="宋体"/>
                <w:color w:val="000000"/>
                <w:sz w:val="24"/>
                <w:highlight w:val="none"/>
              </w:rPr>
            </w:r>
            <w:r/>
          </w:p>
          <w:p>
            <w:pPr>
              <w:pStyle w:val="109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9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9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3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9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9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9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20"/>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92"/>
        <w:jc w:val="center"/>
        <w:spacing w:before="240" w:after="240"/>
        <w:rPr>
          <w:rFonts w:hint="eastAsia" w:ascii="宋体" w:hAnsi="宋体" w:cs="宋体"/>
          <w:b/>
          <w:color w:val="000000"/>
          <w:sz w:val="28"/>
          <w:szCs w:val="28"/>
          <w:highlight w:val="none"/>
        </w:rPr>
      </w:pPr>
      <w:r/>
      <w:bookmarkStart w:id="75" w:name="_Toc150480755"/>
      <w:r/>
      <w:bookmarkStart w:id="76" w:name="_Toc195842882"/>
      <w:r/>
      <w:bookmarkStart w:id="77" w:name="_Toc264969207"/>
      <w:r/>
      <w:bookmarkStart w:id="78" w:name="_Toc353873662"/>
      <w:r/>
      <w:bookmarkStart w:id="79" w:name="_Toc150774722"/>
      <w:r/>
      <w:bookmarkStart w:id="80" w:name="_Toc305158859"/>
      <w:r/>
      <w:bookmarkStart w:id="81" w:name="_Toc265228355"/>
      <w:r/>
      <w:bookmarkStart w:id="82" w:name="_Toc127151517"/>
      <w:r/>
      <w:bookmarkStart w:id="83" w:name="_Toc142311019"/>
      <w:r/>
      <w:bookmarkStart w:id="84" w:name="_Toc353873932"/>
      <w:r/>
      <w:bookmarkStart w:id="85" w:name="_Toc305158785"/>
      <w:r/>
      <w:bookmarkStart w:id="86" w:name="_Toc226337213"/>
      <w:r/>
      <w:bookmarkStart w:id="87" w:name="_Toc353825542"/>
      <w:r/>
      <w:bookmarkStart w:id="88" w:name="_Toc226965790"/>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9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305158860"/>
      <w:r/>
      <w:bookmarkStart w:id="92" w:name="_Toc151193906"/>
      <w:r/>
      <w:bookmarkStart w:id="93" w:name="_Toc150509269"/>
      <w:r/>
      <w:bookmarkStart w:id="94" w:name="_Toc150774723"/>
      <w:r/>
      <w:bookmarkStart w:id="95" w:name="_Toc265228356"/>
      <w:r/>
      <w:bookmarkStart w:id="96" w:name="_Toc226309762"/>
      <w:r/>
      <w:bookmarkStart w:id="97" w:name="_Toc226965708"/>
      <w:r/>
      <w:bookmarkStart w:id="98" w:name="_Toc195842883"/>
      <w:r/>
      <w:bookmarkStart w:id="99" w:name="_Toc226965791"/>
      <w:r/>
      <w:bookmarkStart w:id="100" w:name="_Toc142311020"/>
      <w:r/>
      <w:bookmarkStart w:id="101" w:name="_Toc151193760"/>
      <w:r/>
      <w:bookmarkStart w:id="102" w:name="_Toc226337214"/>
      <w:r/>
      <w:bookmarkStart w:id="103" w:name="_Toc151190145"/>
      <w:r/>
      <w:bookmarkStart w:id="104" w:name="_Toc151193616"/>
      <w:r/>
      <w:bookmarkStart w:id="105" w:name="_Toc305158786"/>
      <w:r/>
      <w:bookmarkStart w:id="106" w:name="_Toc264969208"/>
      <w:r/>
      <w:bookmarkStart w:id="107" w:name="_Toc151193688"/>
      <w:r/>
      <w:bookmarkStart w:id="108" w:name="_Toc150480756"/>
      <w:r/>
      <w:bookmarkStart w:id="109" w:name="_Toc150774618"/>
      <w:r/>
      <w:bookmarkStart w:id="110" w:name="_Toc151193832"/>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9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305158787"/>
      <w:r/>
      <w:bookmarkStart w:id="113" w:name="_Toc264969209"/>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480758"/>
      <w:r/>
      <w:bookmarkStart w:id="116" w:name="_Toc305158788"/>
      <w:r/>
      <w:bookmarkStart w:id="117" w:name="_Toc195842885"/>
      <w:r/>
      <w:bookmarkStart w:id="118" w:name="_Toc164608634"/>
      <w:r/>
      <w:bookmarkStart w:id="119" w:name="_Toc164229215"/>
      <w:r/>
      <w:bookmarkStart w:id="120" w:name="_Toc226337216"/>
      <w:r/>
      <w:bookmarkStart w:id="121" w:name="_Toc150774725"/>
      <w:r/>
      <w:bookmarkStart w:id="122" w:name="_Toc164351614"/>
      <w:r/>
      <w:bookmarkStart w:id="123" w:name="_Toc164608789"/>
      <w:r/>
      <w:bookmarkStart w:id="124" w:name="_Toc151193834"/>
      <w:r/>
      <w:bookmarkStart w:id="125" w:name="_Toc150774620"/>
      <w:r/>
      <w:bookmarkStart w:id="126" w:name="_Toc127151520"/>
      <w:r/>
      <w:bookmarkStart w:id="127" w:name="_Toc264969210"/>
      <w:r/>
      <w:bookmarkStart w:id="128" w:name="_Toc127161434"/>
      <w:r/>
      <w:bookmarkStart w:id="129" w:name="_Toc151190147"/>
      <w:r/>
      <w:bookmarkStart w:id="130" w:name="_Toc127151721"/>
      <w:r/>
      <w:bookmarkStart w:id="131" w:name="_Toc151193908"/>
      <w:r/>
      <w:bookmarkStart w:id="132" w:name="_Toc226965710"/>
      <w:r/>
      <w:bookmarkStart w:id="133" w:name="_Toc150509271"/>
      <w:r/>
      <w:bookmarkStart w:id="134" w:name="_Toc151193618"/>
      <w:r/>
      <w:bookmarkStart w:id="135" w:name="_Toc226309764"/>
      <w:r/>
      <w:bookmarkStart w:id="136" w:name="_Toc226965793"/>
      <w:r/>
      <w:bookmarkStart w:id="137" w:name="_Toc142311022"/>
      <w:r/>
      <w:bookmarkStart w:id="138" w:name="_Toc151193762"/>
      <w:r/>
      <w:bookmarkStart w:id="139" w:name="_Toc164229361"/>
      <w:r/>
      <w:bookmarkStart w:id="140" w:name="_Toc305158862"/>
      <w:r/>
      <w:bookmarkStart w:id="141" w:name="_Toc151193690"/>
      <w:r/>
      <w:bookmarkStart w:id="142" w:name="_Toc265228358"/>
      <w:r/>
      <w:bookmarkStart w:id="143" w:name="_Toc149720813"/>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95842887"/>
      <w:r/>
      <w:bookmarkStart w:id="145" w:name="_Toc265228360"/>
      <w:r/>
      <w:bookmarkStart w:id="146" w:name="_Toc151190149"/>
      <w:r/>
      <w:bookmarkStart w:id="147" w:name="_Toc150509273"/>
      <w:r/>
      <w:bookmarkStart w:id="148" w:name="_Toc226965712"/>
      <w:r/>
      <w:bookmarkStart w:id="149" w:name="_Toc305158864"/>
      <w:r/>
      <w:bookmarkStart w:id="150" w:name="_Toc226309766"/>
      <w:r/>
      <w:bookmarkStart w:id="151" w:name="_Toc305158790"/>
      <w:r/>
      <w:bookmarkStart w:id="152" w:name="_Toc264969212"/>
      <w:r/>
      <w:bookmarkStart w:id="153" w:name="_Toc151193620"/>
      <w:r/>
      <w:bookmarkStart w:id="154" w:name="_Toc127151522"/>
      <w:r/>
      <w:bookmarkStart w:id="155" w:name="_Toc151193836"/>
      <w:r/>
      <w:bookmarkStart w:id="156" w:name="_Toc150480760"/>
      <w:r/>
      <w:bookmarkStart w:id="157" w:name="_Toc150774727"/>
      <w:r/>
      <w:bookmarkStart w:id="158" w:name="_Toc226965795"/>
      <w:r/>
      <w:bookmarkStart w:id="159" w:name="_Toc150774622"/>
      <w:r/>
      <w:bookmarkStart w:id="160" w:name="_Toc142311024"/>
      <w:r/>
      <w:bookmarkStart w:id="161" w:name="_Toc520356146"/>
      <w:r/>
      <w:bookmarkStart w:id="162" w:name="_Toc151193692"/>
      <w:r/>
      <w:bookmarkStart w:id="163" w:name="_Toc226337218"/>
      <w:r/>
      <w:bookmarkStart w:id="164" w:name="_Toc151193764"/>
      <w:r/>
      <w:bookmarkStart w:id="165" w:name="_Toc151193910"/>
      <w:r>
        <w:rPr>
          <w:rFonts w:hint="eastAsia" w:ascii="宋体" w:hAnsi="宋体" w:cs="宋体"/>
          <w:color w:val="000000"/>
          <w:sz w:val="28"/>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9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9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9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9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9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9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9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9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9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9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774728"/>
      <w:r/>
      <w:bookmarkStart w:id="168" w:name="_Toc142311025"/>
      <w:r/>
      <w:bookmarkStart w:id="169" w:name="_Toc520356147"/>
      <w:r/>
      <w:bookmarkStart w:id="170" w:name="_Toc150774623"/>
      <w:r/>
      <w:bookmarkStart w:id="171" w:name="_Toc151193837"/>
      <w:r/>
      <w:bookmarkStart w:id="172" w:name="_Toc164229364"/>
      <w:r/>
      <w:bookmarkStart w:id="173" w:name="_Toc151193693"/>
      <w:r/>
      <w:bookmarkStart w:id="174" w:name="_Toc264969213"/>
      <w:r/>
      <w:bookmarkStart w:id="175" w:name="_Toc305158865"/>
      <w:r/>
      <w:bookmarkStart w:id="176" w:name="_Toc164608637"/>
      <w:r/>
      <w:bookmarkStart w:id="177" w:name="_Toc127151724"/>
      <w:r/>
      <w:bookmarkStart w:id="178" w:name="_Toc226309767"/>
      <w:r/>
      <w:bookmarkStart w:id="179" w:name="_Toc226337219"/>
      <w:r/>
      <w:bookmarkStart w:id="180" w:name="_Toc150480761"/>
      <w:r/>
      <w:bookmarkStart w:id="181" w:name="_Toc305158791"/>
      <w:r/>
      <w:bookmarkStart w:id="182" w:name="_Toc151193911"/>
      <w:r/>
      <w:bookmarkStart w:id="183" w:name="_Toc151193765"/>
      <w:r/>
      <w:bookmarkStart w:id="184" w:name="_Toc164229218"/>
      <w:r/>
      <w:bookmarkStart w:id="185" w:name="_Toc164351617"/>
      <w:r/>
      <w:bookmarkStart w:id="186" w:name="_Toc150509274"/>
      <w:r/>
      <w:bookmarkStart w:id="187" w:name="_Toc151193621"/>
      <w:r/>
      <w:bookmarkStart w:id="188" w:name="_Toc195842888"/>
      <w:r/>
      <w:bookmarkStart w:id="189" w:name="_Toc149720816"/>
      <w:r/>
      <w:bookmarkStart w:id="190" w:name="_Toc127161437"/>
      <w:r/>
      <w:bookmarkStart w:id="191" w:name="_Toc265228361"/>
      <w:r/>
      <w:bookmarkStart w:id="192" w:name="_Toc164608792"/>
      <w:r/>
      <w:bookmarkStart w:id="193" w:name="_Toc151190150"/>
      <w:r/>
      <w:bookmarkStart w:id="194" w:name="_Toc226965796"/>
      <w:r/>
      <w:bookmarkStart w:id="195" w:name="_Toc226965713"/>
      <w:r/>
      <w:bookmarkStart w:id="196" w:name="_Toc127151523"/>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9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94"/>
        <w:ind w:firstLine="562"/>
        <w:spacing w:before="0" w:line="360" w:lineRule="auto"/>
        <w:rPr>
          <w:rFonts w:hint="eastAsia" w:ascii="宋体" w:hAnsi="宋体" w:eastAsia="宋体" w:cs="宋体"/>
          <w:color w:val="000000"/>
          <w:sz w:val="28"/>
          <w:highlight w:val="none"/>
        </w:rPr>
      </w:pPr>
      <w:r/>
      <w:bookmarkStart w:id="197" w:name="_Toc142311028"/>
      <w:r/>
      <w:bookmarkStart w:id="198" w:name="_Toc151193840"/>
      <w:r/>
      <w:bookmarkStart w:id="199" w:name="_Toc150480764"/>
      <w:r/>
      <w:bookmarkStart w:id="200" w:name="_Toc150774626"/>
      <w:r/>
      <w:bookmarkStart w:id="201" w:name="_Toc151190153"/>
      <w:r/>
      <w:bookmarkStart w:id="202" w:name="_Toc226337222"/>
      <w:r/>
      <w:bookmarkStart w:id="203" w:name="_Toc305158794"/>
      <w:r/>
      <w:bookmarkStart w:id="204" w:name="_Toc151193696"/>
      <w:r/>
      <w:bookmarkStart w:id="205" w:name="_Toc520356150"/>
      <w:r/>
      <w:bookmarkStart w:id="206" w:name="_Toc226965716"/>
      <w:r/>
      <w:bookmarkStart w:id="207" w:name="_Toc264969216"/>
      <w:r/>
      <w:bookmarkStart w:id="208" w:name="_Toc151193914"/>
      <w:r/>
      <w:bookmarkStart w:id="209" w:name="_Toc265228364"/>
      <w:r/>
      <w:bookmarkStart w:id="210" w:name="_Toc516367020"/>
      <w:r/>
      <w:bookmarkStart w:id="211" w:name="_Toc150509277"/>
      <w:r/>
      <w:bookmarkStart w:id="212" w:name="_Toc226309770"/>
      <w:r/>
      <w:bookmarkStart w:id="213" w:name="_Toc151193768"/>
      <w:r/>
      <w:bookmarkStart w:id="214" w:name="_Toc226965799"/>
      <w:r/>
      <w:bookmarkStart w:id="215" w:name="_Toc150774731"/>
      <w:r/>
      <w:bookmarkStart w:id="216" w:name="_Toc151193624"/>
      <w:r/>
      <w:bookmarkStart w:id="217" w:name="_Toc127151526"/>
      <w:r/>
      <w:bookmarkStart w:id="218" w:name="_Toc195842891"/>
      <w:r/>
      <w:bookmarkStart w:id="219" w:name="_Toc3051588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265228365"/>
      <w:r/>
      <w:bookmarkStart w:id="221" w:name="_Toc150774627"/>
      <w:r/>
      <w:bookmarkStart w:id="222" w:name="_Toc305158795"/>
      <w:r/>
      <w:bookmarkStart w:id="223" w:name="_Toc127151527"/>
      <w:r/>
      <w:bookmarkStart w:id="224" w:name="_Toc164229222"/>
      <w:r/>
      <w:bookmarkStart w:id="225" w:name="_Toc149720820"/>
      <w:r/>
      <w:bookmarkStart w:id="226" w:name="_Toc195842892"/>
      <w:r/>
      <w:bookmarkStart w:id="227" w:name="_Toc164608641"/>
      <w:r/>
      <w:bookmarkStart w:id="228" w:name="_Toc127151728"/>
      <w:r/>
      <w:bookmarkStart w:id="229" w:name="_Toc226965800"/>
      <w:r/>
      <w:bookmarkStart w:id="230" w:name="_Toc164608796"/>
      <w:r/>
      <w:bookmarkStart w:id="231" w:name="_Toc150774732"/>
      <w:r/>
      <w:bookmarkStart w:id="232" w:name="_Toc150480765"/>
      <w:r/>
      <w:bookmarkStart w:id="233" w:name="_Toc142311029"/>
      <w:r/>
      <w:bookmarkStart w:id="234" w:name="_Toc151193915"/>
      <w:r/>
      <w:bookmarkStart w:id="235" w:name="_Toc151193625"/>
      <w:r/>
      <w:bookmarkStart w:id="236" w:name="_Toc151193841"/>
      <w:r/>
      <w:bookmarkStart w:id="237" w:name="_Toc164351621"/>
      <w:r/>
      <w:bookmarkStart w:id="238" w:name="_Toc151193769"/>
      <w:r/>
      <w:bookmarkStart w:id="239" w:name="_Toc226337223"/>
      <w:r/>
      <w:bookmarkStart w:id="240" w:name="_Toc151190154"/>
      <w:r/>
      <w:bookmarkStart w:id="241" w:name="_Toc264969217"/>
      <w:r/>
      <w:bookmarkStart w:id="242" w:name="_Toc226965717"/>
      <w:r/>
      <w:bookmarkStart w:id="243" w:name="_Toc516367021"/>
      <w:r/>
      <w:bookmarkStart w:id="244" w:name="_Toc127161441"/>
      <w:r/>
      <w:bookmarkStart w:id="245" w:name="_Toc520356151"/>
      <w:r/>
      <w:bookmarkStart w:id="246" w:name="_Toc150509278"/>
      <w:r/>
      <w:bookmarkStart w:id="247" w:name="_Toc226309771"/>
      <w:r/>
      <w:bookmarkStart w:id="248" w:name="_Toc164229368"/>
      <w:r/>
      <w:bookmarkStart w:id="249" w:name="_Toc305158869"/>
      <w:r/>
      <w:bookmarkStart w:id="250" w:name="_Toc151193697"/>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51729"/>
      <w:r/>
      <w:bookmarkStart w:id="252" w:name="_Toc164608797"/>
      <w:r/>
      <w:bookmarkStart w:id="253" w:name="_Toc164229223"/>
      <w:r/>
      <w:bookmarkStart w:id="254" w:name="_Toc150774628"/>
      <w:r/>
      <w:bookmarkStart w:id="255" w:name="_Toc142311030"/>
      <w:r/>
      <w:bookmarkStart w:id="256" w:name="_Toc305158796"/>
      <w:r/>
      <w:bookmarkStart w:id="257" w:name="_Toc164351622"/>
      <w:r/>
      <w:bookmarkStart w:id="258" w:name="_Ref467306676"/>
      <w:r/>
      <w:bookmarkStart w:id="259" w:name="_Ref467306195"/>
      <w:r/>
      <w:bookmarkStart w:id="260" w:name="_Toc516367022"/>
      <w:r/>
      <w:bookmarkStart w:id="261" w:name="_Toc150480766"/>
      <w:r/>
      <w:bookmarkStart w:id="262" w:name="_Toc164229369"/>
      <w:r/>
      <w:bookmarkStart w:id="263" w:name="_Toc195842893"/>
      <w:r/>
      <w:bookmarkStart w:id="264" w:name="_Toc305158870"/>
      <w:r/>
      <w:bookmarkStart w:id="265" w:name="_Toc151193916"/>
      <w:r/>
      <w:bookmarkStart w:id="266" w:name="_Toc150774733"/>
      <w:r/>
      <w:bookmarkStart w:id="267" w:name="_Toc151193770"/>
      <w:r/>
      <w:bookmarkStart w:id="268" w:name="_Toc226965718"/>
      <w:r/>
      <w:bookmarkStart w:id="269" w:name="_Toc127151528"/>
      <w:r/>
      <w:bookmarkStart w:id="270" w:name="_Toc226337224"/>
      <w:r/>
      <w:bookmarkStart w:id="271" w:name="_Toc264969218"/>
      <w:r/>
      <w:bookmarkStart w:id="272" w:name="_Toc164608642"/>
      <w:r/>
      <w:bookmarkStart w:id="273" w:name="_Toc151193842"/>
      <w:r/>
      <w:bookmarkStart w:id="274" w:name="_Toc150509279"/>
      <w:r/>
      <w:bookmarkStart w:id="275" w:name="_Toc127161442"/>
      <w:r/>
      <w:bookmarkStart w:id="276" w:name="_Toc151193698"/>
      <w:r/>
      <w:bookmarkStart w:id="277" w:name="_Toc226965801"/>
      <w:r/>
      <w:bookmarkStart w:id="278" w:name="_Toc265228366"/>
      <w:r/>
      <w:bookmarkStart w:id="279" w:name="_Toc226309772"/>
      <w:r/>
      <w:bookmarkStart w:id="280" w:name="_Toc149720821"/>
      <w:r/>
      <w:bookmarkStart w:id="281" w:name="_Toc151190155"/>
      <w:r/>
      <w:bookmarkStart w:id="282" w:name="_Toc151193626"/>
      <w:r/>
      <w:bookmarkStart w:id="283" w:name="_Toc52035615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42311032"/>
      <w:r/>
      <w:bookmarkStart w:id="286" w:name="_Toc127161444"/>
      <w:r/>
      <w:bookmarkStart w:id="287" w:name="_Toc150774630"/>
      <w:r/>
      <w:bookmarkStart w:id="288" w:name="_Toc151193772"/>
      <w:r/>
      <w:bookmarkStart w:id="289" w:name="_Toc151190157"/>
      <w:r/>
      <w:bookmarkStart w:id="290" w:name="_Toc151193700"/>
      <w:r/>
      <w:bookmarkStart w:id="291" w:name="_Toc164608644"/>
      <w:r/>
      <w:bookmarkStart w:id="292" w:name="_Toc151193844"/>
      <w:r/>
      <w:bookmarkStart w:id="293" w:name="_Toc150480768"/>
      <w:r/>
      <w:bookmarkStart w:id="294" w:name="_Toc151193918"/>
      <w:r/>
      <w:bookmarkStart w:id="295" w:name="_Toc127151530"/>
      <w:r/>
      <w:bookmarkStart w:id="296" w:name="_Toc164351624"/>
      <w:r/>
      <w:bookmarkStart w:id="297" w:name="_Toc164608799"/>
      <w:r/>
      <w:bookmarkStart w:id="298" w:name="_Toc520356155"/>
      <w:r/>
      <w:bookmarkStart w:id="299" w:name="_Toc164229371"/>
      <w:r/>
      <w:bookmarkStart w:id="300" w:name="_Toc127151731"/>
      <w:r/>
      <w:bookmarkStart w:id="301" w:name="_Toc150774735"/>
      <w:r/>
      <w:bookmarkStart w:id="302" w:name="_Toc151193628"/>
      <w:r/>
      <w:bookmarkStart w:id="303" w:name="_Toc149720823"/>
      <w:r/>
      <w:bookmarkStart w:id="304" w:name="_Toc150509281"/>
      <w:r/>
      <w:bookmarkStart w:id="305" w:name="_Toc164229225"/>
      <w:r/>
      <w:bookmarkStart w:id="306" w:name="_Toc19584289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305158873"/>
      <w:r/>
      <w:bookmarkStart w:id="308" w:name="_Toc164229372"/>
      <w:r/>
      <w:bookmarkStart w:id="309" w:name="_Toc150480769"/>
      <w:r/>
      <w:bookmarkStart w:id="310" w:name="_Toc151193845"/>
      <w:r/>
      <w:bookmarkStart w:id="311" w:name="_Toc150774631"/>
      <w:r/>
      <w:bookmarkStart w:id="312" w:name="_Toc226337227"/>
      <w:r/>
      <w:bookmarkStart w:id="313" w:name="_Toc520356156"/>
      <w:r/>
      <w:bookmarkStart w:id="314" w:name="_Toc127161445"/>
      <w:r/>
      <w:bookmarkStart w:id="315" w:name="_Toc226309775"/>
      <w:r/>
      <w:bookmarkStart w:id="316" w:name="_Toc127151531"/>
      <w:r/>
      <w:bookmarkStart w:id="317" w:name="_Toc149720824"/>
      <w:r/>
      <w:bookmarkStart w:id="318" w:name="_Toc164608645"/>
      <w:r/>
      <w:bookmarkStart w:id="319" w:name="_Toc150774736"/>
      <w:r/>
      <w:bookmarkStart w:id="320" w:name="_Toc151190158"/>
      <w:r/>
      <w:bookmarkStart w:id="321" w:name="_Toc151193919"/>
      <w:r/>
      <w:bookmarkStart w:id="322" w:name="_Toc150509282"/>
      <w:r/>
      <w:bookmarkStart w:id="323" w:name="_Toc151193629"/>
      <w:r/>
      <w:bookmarkStart w:id="324" w:name="_Toc142311033"/>
      <w:r/>
      <w:bookmarkStart w:id="325" w:name="_Toc164351625"/>
      <w:r/>
      <w:bookmarkStart w:id="326" w:name="_Toc195842896"/>
      <w:r/>
      <w:bookmarkStart w:id="327" w:name="_Ref467306513"/>
      <w:r/>
      <w:bookmarkStart w:id="328" w:name="_Toc151193701"/>
      <w:r/>
      <w:bookmarkStart w:id="329" w:name="_Toc127151732"/>
      <w:r/>
      <w:bookmarkStart w:id="330" w:name="_Toc305158799"/>
      <w:r/>
      <w:bookmarkStart w:id="331" w:name="_Toc265228369"/>
      <w:r/>
      <w:bookmarkStart w:id="332" w:name="_Toc151193773"/>
      <w:r/>
      <w:bookmarkStart w:id="333" w:name="_Toc226965721"/>
      <w:r/>
      <w:bookmarkStart w:id="334" w:name="_Toc264969221"/>
      <w:r/>
      <w:bookmarkStart w:id="335" w:name="_Toc164229226"/>
      <w:r/>
      <w:bookmarkStart w:id="336" w:name="_Toc164608800"/>
      <w:r/>
      <w:bookmarkStart w:id="337" w:name="_Toc226965804"/>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9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0159"/>
      <w:r/>
      <w:bookmarkStart w:id="339" w:name="_Toc142311034"/>
      <w:r/>
      <w:bookmarkStart w:id="340" w:name="_Toc151193702"/>
      <w:r/>
      <w:bookmarkStart w:id="341" w:name="_Toc127151532"/>
      <w:r/>
      <w:bookmarkStart w:id="342" w:name="_Toc127161446"/>
      <w:r/>
      <w:bookmarkStart w:id="343" w:name="_Toc226309776"/>
      <w:r/>
      <w:bookmarkStart w:id="344" w:name="_Toc151193774"/>
      <w:r/>
      <w:bookmarkStart w:id="345" w:name="_Toc164608646"/>
      <w:r/>
      <w:bookmarkStart w:id="346" w:name="_Toc226965805"/>
      <w:r/>
      <w:bookmarkStart w:id="347" w:name="_Toc150509283"/>
      <w:r/>
      <w:bookmarkStart w:id="348" w:name="_Toc164229373"/>
      <w:r/>
      <w:bookmarkStart w:id="349" w:name="_Toc149720825"/>
      <w:r/>
      <w:bookmarkStart w:id="350" w:name="_Toc265228370"/>
      <w:r/>
      <w:bookmarkStart w:id="351" w:name="_Toc226337228"/>
      <w:r/>
      <w:bookmarkStart w:id="352" w:name="_Toc164229227"/>
      <w:r/>
      <w:bookmarkStart w:id="353" w:name="_Toc150774737"/>
      <w:r/>
      <w:bookmarkStart w:id="354" w:name="_Toc164608801"/>
      <w:r/>
      <w:bookmarkStart w:id="355" w:name="_Toc150774632"/>
      <w:r/>
      <w:bookmarkStart w:id="356" w:name="_Toc164351626"/>
      <w:r/>
      <w:bookmarkStart w:id="357" w:name="_Toc127151733"/>
      <w:r/>
      <w:bookmarkStart w:id="358" w:name="_Toc150480770"/>
      <w:r/>
      <w:bookmarkStart w:id="359" w:name="_Toc195842897"/>
      <w:r/>
      <w:bookmarkStart w:id="360" w:name="_Toc520356157"/>
      <w:r/>
      <w:bookmarkStart w:id="361" w:name="_Toc226965722"/>
      <w:r/>
      <w:bookmarkStart w:id="362" w:name="_Toc151193920"/>
      <w:r/>
      <w:bookmarkStart w:id="363" w:name="_Toc151193846"/>
      <w:r/>
      <w:bookmarkStart w:id="364" w:name="_Toc264969222"/>
      <w:r/>
      <w:bookmarkStart w:id="365" w:name="_Toc305158874"/>
      <w:r/>
      <w:bookmarkStart w:id="366" w:name="_Toc305158800"/>
      <w:r/>
      <w:bookmarkStart w:id="367" w:name="_Toc15119363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229228"/>
      <w:r/>
      <w:bookmarkStart w:id="369" w:name="_Toc151193847"/>
      <w:r/>
      <w:bookmarkStart w:id="370" w:name="_Toc305158801"/>
      <w:r/>
      <w:bookmarkStart w:id="371" w:name="_Toc305158875"/>
      <w:r/>
      <w:bookmarkStart w:id="372" w:name="_Toc226309777"/>
      <w:r/>
      <w:bookmarkStart w:id="373" w:name="_Toc151193775"/>
      <w:r/>
      <w:bookmarkStart w:id="374" w:name="_Toc149720826"/>
      <w:r/>
      <w:bookmarkStart w:id="375" w:name="_Toc127161447"/>
      <w:r/>
      <w:bookmarkStart w:id="376" w:name="_Toc164608647"/>
      <w:r/>
      <w:bookmarkStart w:id="377" w:name="_Toc520356158"/>
      <w:r/>
      <w:bookmarkStart w:id="378" w:name="_Toc164229374"/>
      <w:r/>
      <w:bookmarkStart w:id="379" w:name="_Toc150480771"/>
      <w:r/>
      <w:bookmarkStart w:id="380" w:name="_Toc226965723"/>
      <w:r/>
      <w:bookmarkStart w:id="381" w:name="_Toc151193921"/>
      <w:r/>
      <w:bookmarkStart w:id="382" w:name="_Toc226337229"/>
      <w:r/>
      <w:bookmarkStart w:id="383" w:name="_Toc151193703"/>
      <w:r/>
      <w:bookmarkStart w:id="384" w:name="_Toc164608802"/>
      <w:r/>
      <w:bookmarkStart w:id="385" w:name="_Toc127151734"/>
      <w:r/>
      <w:bookmarkStart w:id="386" w:name="_Toc164351627"/>
      <w:r/>
      <w:bookmarkStart w:id="387" w:name="_Toc150509284"/>
      <w:r/>
      <w:bookmarkStart w:id="388" w:name="_Toc264969223"/>
      <w:r/>
      <w:bookmarkStart w:id="389" w:name="_Toc142311035"/>
      <w:r/>
      <w:bookmarkStart w:id="390" w:name="_Toc195842898"/>
      <w:r/>
      <w:bookmarkStart w:id="391" w:name="_Toc150774738"/>
      <w:r/>
      <w:bookmarkStart w:id="392" w:name="_Toc151190160"/>
      <w:r/>
      <w:bookmarkStart w:id="393" w:name="_Toc150774633"/>
      <w:r/>
      <w:bookmarkStart w:id="394" w:name="_Toc265228371"/>
      <w:r/>
      <w:bookmarkStart w:id="395" w:name="_Toc226965806"/>
      <w:r/>
      <w:bookmarkStart w:id="396" w:name="_Toc127151533"/>
      <w:r/>
      <w:bookmarkStart w:id="397" w:name="_Toc15119363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64969224"/>
      <w:r/>
      <w:bookmarkStart w:id="399" w:name="_Toc226337230"/>
      <w:r/>
      <w:bookmarkStart w:id="400" w:name="_Toc150509285"/>
      <w:r/>
      <w:bookmarkStart w:id="401" w:name="_Toc226309778"/>
      <w:r/>
      <w:bookmarkStart w:id="402" w:name="_Toc305158876"/>
      <w:r/>
      <w:bookmarkStart w:id="403" w:name="_Toc265228372"/>
      <w:r/>
      <w:bookmarkStart w:id="404" w:name="_Toc195842899"/>
      <w:r/>
      <w:bookmarkStart w:id="405" w:name="_Toc226965724"/>
      <w:r/>
      <w:bookmarkStart w:id="406" w:name="_Toc151193922"/>
      <w:r/>
      <w:bookmarkStart w:id="407" w:name="_Toc150480772"/>
      <w:r/>
      <w:bookmarkStart w:id="408" w:name="_Toc150774739"/>
      <w:r/>
      <w:bookmarkStart w:id="409" w:name="_Toc305158802"/>
      <w:r/>
      <w:bookmarkStart w:id="410" w:name="_Toc151193776"/>
      <w:r/>
      <w:bookmarkStart w:id="411" w:name="_Toc127151534"/>
      <w:r/>
      <w:bookmarkStart w:id="412" w:name="_Toc520356159"/>
      <w:r/>
      <w:bookmarkStart w:id="413" w:name="_Toc151193704"/>
      <w:r/>
      <w:bookmarkStart w:id="414" w:name="_Toc151193848"/>
      <w:r/>
      <w:bookmarkStart w:id="415" w:name="_Toc151193632"/>
      <w:r/>
      <w:bookmarkStart w:id="416" w:name="_Toc226965807"/>
      <w:r/>
      <w:bookmarkStart w:id="417" w:name="_Toc150774634"/>
      <w:r/>
      <w:bookmarkStart w:id="418" w:name="_Toc151190161"/>
      <w:r/>
      <w:bookmarkStart w:id="419" w:name="_Toc14231103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9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9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65228373"/>
      <w:r/>
      <w:bookmarkStart w:id="421" w:name="_Toc305158877"/>
      <w:r/>
      <w:bookmarkStart w:id="422" w:name="_Toc164229376"/>
      <w:r/>
      <w:bookmarkStart w:id="423" w:name="_Toc150774635"/>
      <w:r/>
      <w:bookmarkStart w:id="424" w:name="_Toc151193777"/>
      <w:r/>
      <w:bookmarkStart w:id="425" w:name="_Toc226309779"/>
      <w:r/>
      <w:bookmarkStart w:id="426" w:name="_Toc520356160"/>
      <w:r/>
      <w:bookmarkStart w:id="427" w:name="_Toc226965725"/>
      <w:r/>
      <w:bookmarkStart w:id="428" w:name="_Toc150509286"/>
      <w:r/>
      <w:bookmarkStart w:id="429" w:name="_Toc127151736"/>
      <w:r/>
      <w:bookmarkStart w:id="430" w:name="_Toc195842900"/>
      <w:r/>
      <w:bookmarkStart w:id="431" w:name="_Toc164229230"/>
      <w:r/>
      <w:bookmarkStart w:id="432" w:name="_Toc149720828"/>
      <w:r/>
      <w:bookmarkStart w:id="433" w:name="_Toc226337231"/>
      <w:r/>
      <w:bookmarkStart w:id="434" w:name="_Toc305158803"/>
      <w:r/>
      <w:bookmarkStart w:id="435" w:name="_Toc164608804"/>
      <w:r/>
      <w:bookmarkStart w:id="436" w:name="_Toc151193633"/>
      <w:r/>
      <w:bookmarkStart w:id="437" w:name="_Toc151193849"/>
      <w:r/>
      <w:bookmarkStart w:id="438" w:name="_Toc150774740"/>
      <w:r/>
      <w:bookmarkStart w:id="439" w:name="_Toc164351629"/>
      <w:r/>
      <w:bookmarkStart w:id="440" w:name="_Toc151193705"/>
      <w:r/>
      <w:bookmarkStart w:id="441" w:name="_Toc226965808"/>
      <w:r/>
      <w:bookmarkStart w:id="442" w:name="_Toc127161449"/>
      <w:r/>
      <w:bookmarkStart w:id="443" w:name="_Toc127151535"/>
      <w:r/>
      <w:bookmarkStart w:id="444" w:name="_Toc151190162"/>
      <w:r/>
      <w:bookmarkStart w:id="445" w:name="_Toc151193923"/>
      <w:r/>
      <w:bookmarkStart w:id="446" w:name="_Toc264969225"/>
      <w:r/>
      <w:bookmarkStart w:id="447" w:name="_Toc164608649"/>
      <w:r/>
      <w:bookmarkStart w:id="448" w:name="_Toc150480773"/>
      <w:r/>
      <w:bookmarkStart w:id="449" w:name="_Toc142311037"/>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480774"/>
      <w:r/>
      <w:bookmarkStart w:id="451" w:name="_Toc164351630"/>
      <w:r/>
      <w:bookmarkStart w:id="452" w:name="_Toc195842901"/>
      <w:r/>
      <w:bookmarkStart w:id="453" w:name="_Toc149720829"/>
      <w:r/>
      <w:bookmarkStart w:id="454" w:name="_Toc127151737"/>
      <w:r/>
      <w:bookmarkStart w:id="455" w:name="_Toc150509287"/>
      <w:r/>
      <w:bookmarkStart w:id="456" w:name="_Toc151193778"/>
      <w:r/>
      <w:bookmarkStart w:id="457" w:name="_Toc226309780"/>
      <w:r/>
      <w:bookmarkStart w:id="458" w:name="_Toc226337232"/>
      <w:r/>
      <w:bookmarkStart w:id="459" w:name="_Toc151193924"/>
      <w:r/>
      <w:bookmarkStart w:id="460" w:name="_Toc226965809"/>
      <w:r/>
      <w:bookmarkStart w:id="461" w:name="_Toc127151536"/>
      <w:r/>
      <w:bookmarkStart w:id="462" w:name="_Toc151193850"/>
      <w:r/>
      <w:bookmarkStart w:id="463" w:name="_Toc164608805"/>
      <w:r/>
      <w:bookmarkStart w:id="464" w:name="_Toc150774636"/>
      <w:r/>
      <w:bookmarkStart w:id="465" w:name="_Toc226965726"/>
      <w:r/>
      <w:bookmarkStart w:id="466" w:name="_Toc151193634"/>
      <w:r/>
      <w:bookmarkStart w:id="467" w:name="_Toc305158804"/>
      <w:r/>
      <w:bookmarkStart w:id="468" w:name="_Toc264969226"/>
      <w:r/>
      <w:bookmarkStart w:id="469" w:name="_Toc127161450"/>
      <w:r/>
      <w:bookmarkStart w:id="470" w:name="_Toc265228374"/>
      <w:r/>
      <w:bookmarkStart w:id="471" w:name="_Toc151190163"/>
      <w:r/>
      <w:bookmarkStart w:id="472" w:name="_Toc151193706"/>
      <w:r/>
      <w:bookmarkStart w:id="473" w:name="_Toc164229231"/>
      <w:r/>
      <w:bookmarkStart w:id="474" w:name="_Toc305158878"/>
      <w:r/>
      <w:bookmarkStart w:id="475" w:name="_Toc164229377"/>
      <w:r/>
      <w:bookmarkStart w:id="476" w:name="_Toc520356161"/>
      <w:r/>
      <w:bookmarkStart w:id="477" w:name="_Toc150774741"/>
      <w:r/>
      <w:bookmarkStart w:id="478" w:name="_Toc164608650"/>
      <w:r/>
      <w:bookmarkStart w:id="479" w:name="_Toc142311038"/>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520356162"/>
      <w:r/>
      <w:bookmarkStart w:id="481" w:name="_Toc265228375"/>
      <w:r/>
      <w:bookmarkStart w:id="482" w:name="_Toc264969227"/>
      <w:r/>
      <w:bookmarkStart w:id="483" w:name="_Toc150480775"/>
      <w:r/>
      <w:bookmarkStart w:id="484" w:name="_Toc305158805"/>
      <w:r/>
      <w:bookmarkStart w:id="485" w:name="_Toc127151537"/>
      <w:r/>
      <w:bookmarkStart w:id="486" w:name="_Toc127151738"/>
      <w:r/>
      <w:bookmarkStart w:id="487" w:name="_Toc226965727"/>
      <w:r/>
      <w:bookmarkStart w:id="488" w:name="_Toc151190164"/>
      <w:r/>
      <w:bookmarkStart w:id="489" w:name="_Toc151193851"/>
      <w:r/>
      <w:bookmarkStart w:id="490" w:name="_Toc149720830"/>
      <w:r/>
      <w:bookmarkStart w:id="491" w:name="_Toc151193707"/>
      <w:r/>
      <w:bookmarkStart w:id="492" w:name="_Toc164351631"/>
      <w:r/>
      <w:bookmarkStart w:id="493" w:name="_Toc142311039"/>
      <w:r/>
      <w:bookmarkStart w:id="494" w:name="_Toc195842902"/>
      <w:r/>
      <w:bookmarkStart w:id="495" w:name="_Toc150774742"/>
      <w:r/>
      <w:bookmarkStart w:id="496" w:name="_Toc164229378"/>
      <w:r/>
      <w:bookmarkStart w:id="497" w:name="_Toc150509288"/>
      <w:r/>
      <w:bookmarkStart w:id="498" w:name="_Toc151193635"/>
      <w:r/>
      <w:bookmarkStart w:id="499" w:name="_Toc164608651"/>
      <w:r/>
      <w:bookmarkStart w:id="500" w:name="_Toc226965810"/>
      <w:r/>
      <w:bookmarkStart w:id="501" w:name="_Toc151193925"/>
      <w:r/>
      <w:bookmarkStart w:id="502" w:name="_Toc226337233"/>
      <w:r/>
      <w:bookmarkStart w:id="503" w:name="_Toc305158879"/>
      <w:r/>
      <w:bookmarkStart w:id="504" w:name="_Toc226309781"/>
      <w:r/>
      <w:bookmarkStart w:id="505" w:name="_Toc164608806"/>
      <w:r/>
      <w:bookmarkStart w:id="506" w:name="_Toc164229232"/>
      <w:r/>
      <w:bookmarkStart w:id="507" w:name="_Toc151193779"/>
      <w:r/>
      <w:bookmarkStart w:id="508" w:name="_Toc150774637"/>
      <w:r/>
      <w:bookmarkStart w:id="509" w:name="_Toc12716145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94"/>
        <w:ind w:firstLine="562"/>
        <w:spacing w:before="0" w:line="360" w:lineRule="auto"/>
        <w:rPr>
          <w:rFonts w:hint="eastAsia" w:ascii="宋体" w:hAnsi="宋体" w:eastAsia="宋体" w:cs="宋体"/>
          <w:color w:val="000000"/>
          <w:sz w:val="28"/>
          <w:highlight w:val="none"/>
        </w:rPr>
      </w:pPr>
      <w:r/>
      <w:bookmarkStart w:id="510" w:name="_Toc520356163"/>
      <w:r/>
      <w:bookmarkStart w:id="511" w:name="_Toc226965728"/>
      <w:r/>
      <w:bookmarkStart w:id="512" w:name="_Toc264969228"/>
      <w:r/>
      <w:bookmarkStart w:id="513" w:name="_Toc127151538"/>
      <w:r/>
      <w:bookmarkStart w:id="514" w:name="_Toc151193852"/>
      <w:r/>
      <w:bookmarkStart w:id="515" w:name="_Toc305158806"/>
      <w:r/>
      <w:bookmarkStart w:id="516" w:name="_Toc151193926"/>
      <w:r/>
      <w:bookmarkStart w:id="517" w:name="_Toc150480776"/>
      <w:r/>
      <w:bookmarkStart w:id="518" w:name="_Toc305158880"/>
      <w:r/>
      <w:bookmarkStart w:id="519" w:name="_Toc151193708"/>
      <w:r/>
      <w:bookmarkStart w:id="520" w:name="_Toc150509289"/>
      <w:r/>
      <w:bookmarkStart w:id="521" w:name="_Toc151190165"/>
      <w:r/>
      <w:bookmarkStart w:id="522" w:name="_Toc150774743"/>
      <w:r/>
      <w:bookmarkStart w:id="523" w:name="_Toc226337234"/>
      <w:r/>
      <w:bookmarkStart w:id="524" w:name="_Toc151193636"/>
      <w:r/>
      <w:bookmarkStart w:id="525" w:name="_Toc142311040"/>
      <w:r/>
      <w:bookmarkStart w:id="526" w:name="_Toc195842903"/>
      <w:r/>
      <w:bookmarkStart w:id="527" w:name="_Toc151193780"/>
      <w:r/>
      <w:bookmarkStart w:id="528" w:name="_Toc150774638"/>
      <w:r/>
      <w:bookmarkStart w:id="529" w:name="_Toc226309782"/>
      <w:r/>
      <w:bookmarkStart w:id="530" w:name="_Toc265228376"/>
      <w:r/>
      <w:bookmarkStart w:id="531" w:name="_Toc226965811"/>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64608808"/>
      <w:r/>
      <w:bookmarkStart w:id="533" w:name="_Toc150774639"/>
      <w:r/>
      <w:bookmarkStart w:id="534" w:name="_Toc305158881"/>
      <w:r/>
      <w:bookmarkStart w:id="535" w:name="_Toc151190166"/>
      <w:r/>
      <w:bookmarkStart w:id="536" w:name="_Toc226965729"/>
      <w:r/>
      <w:bookmarkStart w:id="537" w:name="_Toc305158807"/>
      <w:r/>
      <w:bookmarkStart w:id="538" w:name="_Toc264969229"/>
      <w:r/>
      <w:bookmarkStart w:id="539" w:name="_Toc127151740"/>
      <w:r/>
      <w:bookmarkStart w:id="540" w:name="_Toc151193927"/>
      <w:r/>
      <w:bookmarkStart w:id="541" w:name="_Toc127161453"/>
      <w:r/>
      <w:bookmarkStart w:id="542" w:name="_Toc151193709"/>
      <w:r/>
      <w:bookmarkStart w:id="543" w:name="_Toc151193853"/>
      <w:r/>
      <w:bookmarkStart w:id="544" w:name="_Toc150509290"/>
      <w:r/>
      <w:bookmarkStart w:id="545" w:name="_Toc164229380"/>
      <w:r/>
      <w:bookmarkStart w:id="546" w:name="_Toc127151539"/>
      <w:r/>
      <w:bookmarkStart w:id="547" w:name="_Toc142311041"/>
      <w:r/>
      <w:bookmarkStart w:id="548" w:name="_Toc151193781"/>
      <w:r/>
      <w:bookmarkStart w:id="549" w:name="_Toc265228377"/>
      <w:r/>
      <w:bookmarkStart w:id="550" w:name="_Toc149720832"/>
      <w:r/>
      <w:bookmarkStart w:id="551" w:name="_Toc164229234"/>
      <w:r/>
      <w:bookmarkStart w:id="552" w:name="_Toc151193637"/>
      <w:r/>
      <w:bookmarkStart w:id="553" w:name="_Toc226965812"/>
      <w:r/>
      <w:bookmarkStart w:id="554" w:name="_Toc164351633"/>
      <w:r/>
      <w:bookmarkStart w:id="555" w:name="_Toc150774744"/>
      <w:r/>
      <w:bookmarkStart w:id="556" w:name="_Toc226309783"/>
      <w:r/>
      <w:bookmarkStart w:id="557" w:name="_Toc164608653"/>
      <w:r/>
      <w:bookmarkStart w:id="558" w:name="_Toc520356164"/>
      <w:r/>
      <w:bookmarkStart w:id="559" w:name="_Toc195842904"/>
      <w:r/>
      <w:bookmarkStart w:id="560" w:name="_Toc226337235"/>
      <w:r/>
      <w:bookmarkStart w:id="561" w:name="_Toc150480777"/>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9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9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9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9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9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9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10"/>
      <w:r/>
      <w:bookmarkStart w:id="564" w:name="_Toc226309784"/>
      <w:r/>
      <w:bookmarkStart w:id="565" w:name="_Toc150509291"/>
      <w:r/>
      <w:bookmarkStart w:id="566" w:name="_Toc151193638"/>
      <w:r/>
      <w:bookmarkStart w:id="567" w:name="_Toc164608654"/>
      <w:r/>
      <w:bookmarkStart w:id="568" w:name="_Toc164229235"/>
      <w:r/>
      <w:bookmarkStart w:id="569" w:name="_Toc127161454"/>
      <w:r/>
      <w:bookmarkStart w:id="570" w:name="_Toc164351634"/>
      <w:r/>
      <w:bookmarkStart w:id="571" w:name="_Toc150774640"/>
      <w:r/>
      <w:bookmarkStart w:id="572" w:name="_Toc226965730"/>
      <w:r/>
      <w:bookmarkStart w:id="573" w:name="_Toc151193854"/>
      <w:r/>
      <w:bookmarkStart w:id="574" w:name="_Toc264969230"/>
      <w:r/>
      <w:bookmarkStart w:id="575" w:name="_Toc195842905"/>
      <w:r/>
      <w:bookmarkStart w:id="576" w:name="_Toc151193928"/>
      <w:r/>
      <w:bookmarkStart w:id="577" w:name="_Toc164229381"/>
      <w:r/>
      <w:bookmarkStart w:id="578" w:name="_Toc150480778"/>
      <w:r/>
      <w:bookmarkStart w:id="579" w:name="_Toc142311042"/>
      <w:r/>
      <w:bookmarkStart w:id="580" w:name="_Toc151193782"/>
      <w:r/>
      <w:bookmarkStart w:id="581" w:name="_Toc226337236"/>
      <w:r/>
      <w:bookmarkStart w:id="582" w:name="_Toc151190167"/>
      <w:r/>
      <w:bookmarkStart w:id="583" w:name="_Toc127151540"/>
      <w:r/>
      <w:bookmarkStart w:id="584" w:name="_Toc305158808"/>
      <w:r/>
      <w:bookmarkStart w:id="585" w:name="_Toc149720833"/>
      <w:r/>
      <w:bookmarkStart w:id="586" w:name="_Toc150774745"/>
      <w:r/>
      <w:bookmarkStart w:id="587" w:name="_Toc164608809"/>
      <w:r/>
      <w:bookmarkStart w:id="588" w:name="_Toc127151741"/>
      <w:r/>
      <w:bookmarkStart w:id="589" w:name="_Toc305158882"/>
      <w:r/>
      <w:bookmarkStart w:id="590" w:name="_Toc265228378"/>
      <w:r/>
      <w:bookmarkStart w:id="591" w:name="_Toc226965813"/>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9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94"/>
        <w:ind w:firstLine="562"/>
        <w:spacing w:before="0" w:line="360" w:lineRule="auto"/>
        <w:rPr>
          <w:rFonts w:hint="eastAsia" w:ascii="宋体" w:hAnsi="宋体" w:eastAsia="宋体" w:cs="宋体"/>
          <w:color w:val="000000"/>
          <w:sz w:val="28"/>
          <w:highlight w:val="none"/>
        </w:rPr>
      </w:pPr>
      <w:r/>
      <w:bookmarkStart w:id="594" w:name="_Toc150509296"/>
      <w:r/>
      <w:bookmarkStart w:id="595" w:name="_Toc151193859"/>
      <w:r/>
      <w:bookmarkStart w:id="596" w:name="_Toc195842910"/>
      <w:r/>
      <w:bookmarkStart w:id="597" w:name="_Toc150774750"/>
      <w:r/>
      <w:bookmarkStart w:id="598" w:name="_Toc151193715"/>
      <w:r/>
      <w:bookmarkStart w:id="599" w:name="_Toc305158813"/>
      <w:r/>
      <w:bookmarkStart w:id="600" w:name="_Toc151193787"/>
      <w:r/>
      <w:bookmarkStart w:id="601" w:name="_Toc151190172"/>
      <w:r/>
      <w:bookmarkStart w:id="602" w:name="_Toc142311047"/>
      <w:r/>
      <w:bookmarkStart w:id="603" w:name="_Toc226309789"/>
      <w:r/>
      <w:bookmarkStart w:id="604" w:name="_Toc264969235"/>
      <w:r/>
      <w:bookmarkStart w:id="605" w:name="_Toc265228383"/>
      <w:r/>
      <w:bookmarkStart w:id="606" w:name="_Toc226337241"/>
      <w:r/>
      <w:bookmarkStart w:id="607" w:name="_Toc150480783"/>
      <w:r/>
      <w:bookmarkStart w:id="608" w:name="_Toc226965818"/>
      <w:r/>
      <w:bookmarkStart w:id="609" w:name="_Toc305158887"/>
      <w:r/>
      <w:bookmarkStart w:id="610" w:name="_Toc151193643"/>
      <w:r/>
      <w:bookmarkStart w:id="611" w:name="_Toc150774645"/>
      <w:r/>
      <w:bookmarkStart w:id="612" w:name="_Toc127151545"/>
      <w:r/>
      <w:bookmarkStart w:id="613" w:name="_Toc151193933"/>
      <w:r/>
      <w:bookmarkStart w:id="614" w:name="_Toc22696573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305158815"/>
      <w:r/>
      <w:bookmarkStart w:id="617" w:name="_Toc150774647"/>
      <w:r/>
      <w:bookmarkStart w:id="618" w:name="_Toc164608661"/>
      <w:r/>
      <w:bookmarkStart w:id="619" w:name="_Toc151193935"/>
      <w:r/>
      <w:bookmarkStart w:id="620" w:name="_Toc149720840"/>
      <w:r/>
      <w:bookmarkStart w:id="621" w:name="_Toc305158889"/>
      <w:r/>
      <w:bookmarkStart w:id="622" w:name="_Toc264969237"/>
      <w:r/>
      <w:bookmarkStart w:id="623" w:name="_Toc164351641"/>
      <w:r/>
      <w:bookmarkStart w:id="624" w:name="_Toc150480785"/>
      <w:r/>
      <w:bookmarkStart w:id="625" w:name="_Toc150774752"/>
      <w:r/>
      <w:bookmarkStart w:id="626" w:name="_Toc151193645"/>
      <w:r/>
      <w:bookmarkStart w:id="627" w:name="_Toc164229388"/>
      <w:r/>
      <w:bookmarkStart w:id="628" w:name="_Toc151193861"/>
      <w:r/>
      <w:bookmarkStart w:id="629" w:name="_Toc226965737"/>
      <w:r/>
      <w:bookmarkStart w:id="630" w:name="_Toc127151547"/>
      <w:r/>
      <w:bookmarkStart w:id="631" w:name="_Toc151193717"/>
      <w:r/>
      <w:bookmarkStart w:id="632" w:name="_Toc195842912"/>
      <w:r/>
      <w:bookmarkStart w:id="633" w:name="_Toc226309791"/>
      <w:r/>
      <w:bookmarkStart w:id="634" w:name="_Toc164608816"/>
      <w:r/>
      <w:bookmarkStart w:id="635" w:name="_Toc142311049"/>
      <w:r/>
      <w:bookmarkStart w:id="636" w:name="_Toc127151748"/>
      <w:r/>
      <w:bookmarkStart w:id="637" w:name="_Toc226337243"/>
      <w:r/>
      <w:bookmarkStart w:id="638" w:name="_Toc265228385"/>
      <w:r/>
      <w:bookmarkStart w:id="639" w:name="_Toc127161461"/>
      <w:r/>
      <w:bookmarkStart w:id="640" w:name="_Toc150509298"/>
      <w:r/>
      <w:bookmarkStart w:id="641" w:name="_Toc151193789"/>
      <w:r/>
      <w:bookmarkStart w:id="642" w:name="_Toc164229242"/>
      <w:r/>
      <w:bookmarkStart w:id="643" w:name="_Toc151190174"/>
      <w:r>
        <w:rPr>
          <w:rFonts w:hint="eastAsia" w:ascii="宋体" w:hAnsi="宋体" w:eastAsia="宋体" w:cs="宋体"/>
          <w:color w:val="000000"/>
          <w:sz w:val="28"/>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337245"/>
      <w:r/>
      <w:bookmarkStart w:id="645" w:name="_Toc150774649"/>
      <w:r/>
      <w:bookmarkStart w:id="646" w:name="_Toc226965822"/>
      <w:r/>
      <w:bookmarkStart w:id="647" w:name="_Toc305158891"/>
      <w:r/>
      <w:bookmarkStart w:id="648" w:name="_Toc226309793"/>
      <w:r/>
      <w:bookmarkStart w:id="649" w:name="_Toc164351643"/>
      <w:r/>
      <w:bookmarkStart w:id="650" w:name="_Toc127151750"/>
      <w:r/>
      <w:bookmarkStart w:id="651" w:name="_Toc226965739"/>
      <w:r/>
      <w:bookmarkStart w:id="652" w:name="_Ref467306425"/>
      <w:r/>
      <w:bookmarkStart w:id="653" w:name="_Toc520356176"/>
      <w:r/>
      <w:bookmarkStart w:id="654" w:name="_Ref467307090"/>
      <w:r/>
      <w:bookmarkStart w:id="655" w:name="_Toc127151549"/>
      <w:r/>
      <w:bookmarkStart w:id="656" w:name="_Toc164608818"/>
      <w:r/>
      <w:bookmarkStart w:id="657" w:name="_Toc164229244"/>
      <w:r/>
      <w:bookmarkStart w:id="658" w:name="_Toc164229390"/>
      <w:r/>
      <w:bookmarkStart w:id="659" w:name="_Toc127161463"/>
      <w:r/>
      <w:bookmarkStart w:id="660" w:name="_Toc150509300"/>
      <w:r/>
      <w:bookmarkStart w:id="661" w:name="_Toc305158817"/>
      <w:r/>
      <w:bookmarkStart w:id="662" w:name="_Toc164608663"/>
      <w:r/>
      <w:bookmarkStart w:id="663" w:name="_Toc151193647"/>
      <w:r/>
      <w:bookmarkStart w:id="664" w:name="_Toc149720842"/>
      <w:r/>
      <w:bookmarkStart w:id="665" w:name="_Toc151190176"/>
      <w:r/>
      <w:bookmarkStart w:id="666" w:name="_Toc265228387"/>
      <w:r/>
      <w:bookmarkStart w:id="667" w:name="_Toc151193719"/>
      <w:r/>
      <w:bookmarkStart w:id="668" w:name="_Toc151193863"/>
      <w:r/>
      <w:bookmarkStart w:id="669" w:name="_Toc151193937"/>
      <w:r/>
      <w:bookmarkStart w:id="670" w:name="_Toc150480787"/>
      <w:r/>
      <w:bookmarkStart w:id="671" w:name="_Toc150774754"/>
      <w:r/>
      <w:bookmarkStart w:id="672" w:name="_Toc142311051"/>
      <w:r/>
      <w:bookmarkStart w:id="673" w:name="_Toc264969239"/>
      <w:r/>
      <w:bookmarkStart w:id="674" w:name="_Toc195842914"/>
      <w:r/>
      <w:bookmarkStart w:id="675" w:name="_Toc151193791"/>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9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480788"/>
      <w:r/>
      <w:bookmarkStart w:id="677" w:name="_Toc151193792"/>
      <w:r/>
      <w:bookmarkStart w:id="678" w:name="_Toc151193864"/>
      <w:r/>
      <w:bookmarkStart w:id="679" w:name="_Toc305158818"/>
      <w:r/>
      <w:bookmarkStart w:id="680" w:name="_Toc150774650"/>
      <w:r/>
      <w:bookmarkStart w:id="681" w:name="_Toc520356175"/>
      <w:r/>
      <w:bookmarkStart w:id="682" w:name="_Toc226337246"/>
      <w:r/>
      <w:bookmarkStart w:id="683" w:name="_Toc151193938"/>
      <w:r/>
      <w:bookmarkStart w:id="684" w:name="_Toc142311052"/>
      <w:r/>
      <w:bookmarkStart w:id="685" w:name="_Toc226965823"/>
      <w:r/>
      <w:bookmarkStart w:id="686" w:name="_Toc127151751"/>
      <w:r/>
      <w:bookmarkStart w:id="687" w:name="_Toc195842915"/>
      <w:r/>
      <w:bookmarkStart w:id="688" w:name="_Toc164608819"/>
      <w:r/>
      <w:bookmarkStart w:id="689" w:name="_Toc265228388"/>
      <w:r/>
      <w:bookmarkStart w:id="690" w:name="_Ref467307062"/>
      <w:r/>
      <w:bookmarkStart w:id="691" w:name="_Toc226965740"/>
      <w:r/>
      <w:bookmarkStart w:id="692" w:name="_Toc151193720"/>
      <w:r/>
      <w:bookmarkStart w:id="693" w:name="_Toc164229245"/>
      <w:r/>
      <w:bookmarkStart w:id="694" w:name="_Toc226309794"/>
      <w:r/>
      <w:bookmarkStart w:id="695" w:name="_Toc264969240"/>
      <w:r/>
      <w:bookmarkStart w:id="696" w:name="_Toc164608664"/>
      <w:r/>
      <w:bookmarkStart w:id="697" w:name="_Toc305158892"/>
      <w:r/>
      <w:bookmarkStart w:id="698" w:name="_Toc151193648"/>
      <w:r/>
      <w:bookmarkStart w:id="699" w:name="_Toc150774755"/>
      <w:r/>
      <w:bookmarkStart w:id="700" w:name="_Toc164351644"/>
      <w:r/>
      <w:bookmarkStart w:id="701" w:name="_Toc127151550"/>
      <w:r/>
      <w:bookmarkStart w:id="702" w:name="_Toc151190177"/>
      <w:r/>
      <w:bookmarkStart w:id="703" w:name="_Toc149720843"/>
      <w:r/>
      <w:bookmarkStart w:id="704" w:name="_Toc164229391"/>
      <w:r/>
      <w:bookmarkStart w:id="705" w:name="_Ref467306377"/>
      <w:r/>
      <w:bookmarkStart w:id="706" w:name="_Toc127161464"/>
      <w:r/>
      <w:bookmarkStart w:id="707" w:name="_Ref467306978"/>
      <w:r/>
      <w:bookmarkStart w:id="708" w:name="_Ref467307204"/>
      <w:r/>
      <w:bookmarkStart w:id="709" w:name="_Toc15050930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9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7"/>
          <w:rFonts w:hint="eastAsia" w:ascii="宋体" w:hAnsi="宋体" w:cs="宋体"/>
          <w:color w:val="000000"/>
          <w:highlight w:val="none"/>
        </w:rPr>
        <w:t xml:space="preserve">http://gk</w:t>
      </w:r>
      <w:bookmarkStart w:id="710" w:name="_Hlt100654014"/>
      <w:r>
        <w:rPr>
          <w:rStyle w:val="1167"/>
          <w:rFonts w:hint="eastAsia" w:ascii="宋体" w:hAnsi="宋体" w:cs="宋体"/>
          <w:color w:val="000000"/>
          <w:highlight w:val="none"/>
        </w:rPr>
        <w:t xml:space="preserve">s</w:t>
      </w:r>
      <w:bookmarkEnd w:id="710"/>
      <w:r>
        <w:rPr>
          <w:rStyle w:val="1167"/>
          <w:rFonts w:hint="eastAsia" w:ascii="宋体" w:hAnsi="宋体" w:cs="宋体"/>
          <w:color w:val="000000"/>
          <w:highlight w:val="none"/>
        </w:rPr>
        <w:t xml:space="preserve">.m</w:t>
      </w:r>
      <w:bookmarkStart w:id="711" w:name="_Hlt100653993"/>
      <w:r/>
      <w:bookmarkStart w:id="712" w:name="_Hlt100653994"/>
      <w:r>
        <w:rPr>
          <w:rStyle w:val="1167"/>
          <w:rFonts w:hint="eastAsia" w:ascii="宋体" w:hAnsi="宋体" w:cs="宋体"/>
          <w:color w:val="000000"/>
          <w:highlight w:val="none"/>
        </w:rPr>
        <w:t xml:space="preserve">o</w:t>
      </w:r>
      <w:bookmarkEnd w:id="711"/>
      <w:r/>
      <w:bookmarkEnd w:id="712"/>
      <w:r>
        <w:rPr>
          <w:rStyle w:val="116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9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9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9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9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92"/>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305158896"/>
      <w:r/>
      <w:bookmarkStart w:id="715" w:name="_Toc150480792"/>
      <w:r/>
      <w:bookmarkStart w:id="716" w:name="_Toc353873934"/>
      <w:r/>
      <w:bookmarkStart w:id="717" w:name="_Toc353825544"/>
      <w:r/>
      <w:bookmarkStart w:id="718" w:name="_Toc226337250"/>
      <w:r/>
      <w:bookmarkStart w:id="719" w:name="_Toc265228392"/>
      <w:r/>
      <w:bookmarkStart w:id="720" w:name="_Toc150774759"/>
      <w:r/>
      <w:bookmarkStart w:id="721" w:name="_Toc226965827"/>
      <w:r/>
      <w:bookmarkStart w:id="722" w:name="_Toc127151554"/>
      <w:r/>
      <w:bookmarkStart w:id="723" w:name="_Toc264969244"/>
      <w:r/>
      <w:bookmarkStart w:id="724" w:name="_Toc142311056"/>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9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9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9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9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9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9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9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9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9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9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9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9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9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226965858"/>
      <w:r/>
      <w:bookmarkStart w:id="733" w:name="_Toc353825550"/>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9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9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9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337237"/>
      <w:r/>
      <w:bookmarkStart w:id="738" w:name="_Toc164608655"/>
      <w:r/>
      <w:bookmarkStart w:id="739" w:name="_Toc226309785"/>
      <w:r/>
      <w:bookmarkStart w:id="740" w:name="_Toc164351635"/>
      <w:r/>
      <w:bookmarkStart w:id="741" w:name="_Toc226965814"/>
      <w:r/>
      <w:bookmarkStart w:id="742" w:name="_Toc305158883"/>
      <w:r/>
      <w:bookmarkStart w:id="743" w:name="_Toc142311043"/>
      <w:r/>
      <w:bookmarkStart w:id="744" w:name="_Toc151193639"/>
      <w:r/>
      <w:bookmarkStart w:id="745" w:name="_Toc226965731"/>
      <w:r/>
      <w:bookmarkStart w:id="746" w:name="_Toc164229236"/>
      <w:r/>
      <w:bookmarkStart w:id="747" w:name="_Toc151193929"/>
      <w:r/>
      <w:bookmarkStart w:id="748" w:name="_Toc164229382"/>
      <w:r/>
      <w:bookmarkStart w:id="749" w:name="_Toc149720834"/>
      <w:r/>
      <w:bookmarkStart w:id="750" w:name="_Toc305158809"/>
      <w:r/>
      <w:bookmarkStart w:id="751" w:name="_Toc150774641"/>
      <w:r/>
      <w:bookmarkStart w:id="752" w:name="_Toc151193783"/>
      <w:r/>
      <w:bookmarkStart w:id="753" w:name="_Toc151193855"/>
      <w:r/>
      <w:bookmarkStart w:id="754" w:name="_Toc151193711"/>
      <w:r/>
      <w:bookmarkStart w:id="755" w:name="_Toc265228379"/>
      <w:r/>
      <w:bookmarkStart w:id="756" w:name="_Toc150509292"/>
      <w:r/>
      <w:bookmarkStart w:id="757" w:name="_Toc127151541"/>
      <w:r/>
      <w:bookmarkStart w:id="758" w:name="_Toc164608810"/>
      <w:r/>
      <w:bookmarkStart w:id="759" w:name="_Toc151190168"/>
      <w:r/>
      <w:bookmarkStart w:id="760" w:name="_Toc127151742"/>
      <w:r/>
      <w:bookmarkStart w:id="761" w:name="_Toc264969231"/>
      <w:r/>
      <w:bookmarkStart w:id="762" w:name="_Toc150774746"/>
      <w:r/>
      <w:bookmarkStart w:id="763" w:name="_Toc150480779"/>
      <w:r/>
      <w:bookmarkStart w:id="764" w:name="_Toc195842906"/>
      <w:r/>
      <w:bookmarkStart w:id="765" w:name="_Toc127161455"/>
      <w:r/>
      <w:bookmarkStart w:id="766" w:name="_Toc353825551"/>
      <w:r/>
      <w:bookmarkStart w:id="767" w:name="_Toc353873941"/>
      <w:r/>
      <w:bookmarkStart w:id="768" w:name="_Toc195842920"/>
      <w:r/>
      <w:bookmarkStart w:id="769" w:name="_Toc142311057"/>
      <w:r/>
      <w:bookmarkStart w:id="770" w:name="_Toc353873665"/>
      <w:r/>
      <w:bookmarkStart w:id="771" w:name="_Toc264969245"/>
      <w:r/>
      <w:bookmarkStart w:id="772" w:name="_Toc226337251"/>
      <w:r/>
      <w:bookmarkStart w:id="773" w:name="_Toc226965828"/>
      <w:r/>
      <w:bookmarkStart w:id="774" w:name="_Toc265228393"/>
      <w:r/>
      <w:bookmarkStart w:id="775" w:name="_Toc305158823"/>
      <w:r/>
      <w:bookmarkStart w:id="776" w:name="_Toc353825545"/>
      <w:r/>
      <w:bookmarkStart w:id="777" w:name="_Toc305158897"/>
      <w:r/>
      <w:bookmarkStart w:id="778" w:name="_Toc353873935"/>
      <w:r/>
      <w:bookmarkStart w:id="779" w:name="_Toc127151555"/>
      <w:r/>
      <w:bookmarkStart w:id="780" w:name="_Toc150774760"/>
      <w:r/>
      <w:bookmarkStart w:id="781" w:name="_Toc1504807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9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9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9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9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9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9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9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9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9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9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9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9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9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9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9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9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9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9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9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9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9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9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860"/>
      <w:r/>
      <w:bookmarkStart w:id="784" w:name="_Toc142311048"/>
      <w:r/>
      <w:bookmarkStart w:id="785" w:name="_Ref467307010"/>
      <w:r/>
      <w:bookmarkStart w:id="786" w:name="_Toc151193934"/>
      <w:r/>
      <w:bookmarkStart w:id="787" w:name="_Toc305158888"/>
      <w:r/>
      <w:bookmarkStart w:id="788" w:name="_Toc127151546"/>
      <w:r/>
      <w:bookmarkStart w:id="789" w:name="_Toc127151747"/>
      <w:r/>
      <w:bookmarkStart w:id="790" w:name="_Toc164229241"/>
      <w:r/>
      <w:bookmarkStart w:id="791" w:name="_Toc264969236"/>
      <w:r/>
      <w:bookmarkStart w:id="792" w:name="_Toc195842911"/>
      <w:r/>
      <w:bookmarkStart w:id="793" w:name="_Toc226309790"/>
      <w:r/>
      <w:bookmarkStart w:id="794" w:name="_Toc150480784"/>
      <w:r/>
      <w:bookmarkStart w:id="795" w:name="_Toc127161460"/>
      <w:r/>
      <w:bookmarkStart w:id="796" w:name="_Toc151190173"/>
      <w:r/>
      <w:bookmarkStart w:id="797" w:name="_Toc150509297"/>
      <w:r/>
      <w:bookmarkStart w:id="798" w:name="_Toc265228384"/>
      <w:r/>
      <w:bookmarkStart w:id="799" w:name="_Toc164229387"/>
      <w:r/>
      <w:bookmarkStart w:id="800" w:name="_Toc164351640"/>
      <w:r/>
      <w:bookmarkStart w:id="801" w:name="_Toc150774751"/>
      <w:r/>
      <w:bookmarkStart w:id="802" w:name="_Toc305158814"/>
      <w:r/>
      <w:bookmarkStart w:id="803" w:name="_Toc149720839"/>
      <w:r/>
      <w:bookmarkStart w:id="804" w:name="_Toc151193788"/>
      <w:r/>
      <w:bookmarkStart w:id="805" w:name="_Toc226965736"/>
      <w:r/>
      <w:bookmarkStart w:id="806" w:name="_Toc151193644"/>
      <w:r/>
      <w:bookmarkStart w:id="807" w:name="_Toc151193716"/>
      <w:r/>
      <w:bookmarkStart w:id="808" w:name="_Toc164608815"/>
      <w:r/>
      <w:bookmarkStart w:id="809" w:name="_Toc164608660"/>
      <w:r/>
      <w:bookmarkStart w:id="810" w:name="_Toc150774646"/>
      <w:r/>
      <w:bookmarkStart w:id="811" w:name="_Toc226337242"/>
      <w:r/>
      <w:bookmarkStart w:id="812" w:name="_Toc226965819"/>
      <w:r/>
      <w:bookmarkStart w:id="813" w:name="_Toc52035617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3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3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9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9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9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9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409"/>
        <w:gridCol w:w="876"/>
        <w:gridCol w:w="3838"/>
        <w:gridCol w:w="2356"/>
      </w:tblGrid>
      <w:tr>
        <w:trPr/>
        <w:tc>
          <w:tcPr>
            <w:tcW w:w="432" w:type="dxa"/>
            <w:vAlign w:val="center"/>
            <w:textDirection w:val="lrTb"/>
            <w:noWrap w:val="false"/>
          </w:tcPr>
          <w:p>
            <w:pPr>
              <w:pStyle w:val="1092"/>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759" w:type="dxa"/>
            <w:vAlign w:val="center"/>
            <w:textDirection w:val="lrTb"/>
            <w:noWrap w:val="false"/>
          </w:tcPr>
          <w:p>
            <w:pPr>
              <w:pStyle w:val="1092"/>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2" w:type="dxa"/>
            <w:vAlign w:val="center"/>
            <w:textDirection w:val="lrTb"/>
            <w:noWrap w:val="false"/>
          </w:tcPr>
          <w:p>
            <w:pPr>
              <w:pStyle w:val="1092"/>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2067" w:type="dxa"/>
            <w:vAlign w:val="center"/>
            <w:textDirection w:val="lrTb"/>
            <w:noWrap w:val="false"/>
          </w:tcPr>
          <w:p>
            <w:pPr>
              <w:pStyle w:val="1092"/>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268" w:type="dxa"/>
            <w:vAlign w:val="center"/>
            <w:textDirection w:val="lrTb"/>
            <w:noWrap w:val="false"/>
          </w:tcPr>
          <w:p>
            <w:pPr>
              <w:pStyle w:val="1336"/>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631"/>
        </w:trPr>
        <w:tc>
          <w:tcPr>
            <w:tcW w:w="432" w:type="dxa"/>
            <w:vAlign w:val="center"/>
            <w:textDirection w:val="lrTb"/>
            <w:noWrap w:val="false"/>
          </w:tcPr>
          <w:p>
            <w:pPr>
              <w:pStyle w:val="1092"/>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759"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20</w:t>
            </w:r>
            <w:r>
              <w:rPr>
                <w:rFonts w:ascii="宋体" w:hAnsi="宋体" w:eastAsia="宋体"/>
                <w:color w:val="000000"/>
                <w:sz w:val="24"/>
                <w:highlight w:val="none"/>
                <w:lang w:val="en-US" w:eastAsia="zh-CN"/>
              </w:rPr>
            </w:r>
            <w:r/>
          </w:p>
        </w:tc>
        <w:tc>
          <w:tcPr>
            <w:tcW w:w="2067" w:type="dxa"/>
            <w:vAlign w:val="center"/>
            <w:textDirection w:val="lrTb"/>
            <w:noWrap w:val="false"/>
          </w:tcPr>
          <w:p>
            <w:pPr>
              <w:pStyle w:val="1092"/>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92"/>
              <w:rPr>
                <w:rFonts w:ascii="宋体" w:hAnsi="宋体"/>
                <w:color w:val="000000"/>
                <w:sz w:val="24"/>
                <w:highlight w:val="none"/>
              </w:rPr>
            </w:pPr>
            <w:r>
              <w:rPr>
                <w:rFonts w:ascii="宋体" w:hAnsi="宋体"/>
                <w:color w:val="000000"/>
                <w:sz w:val="24"/>
                <w:highlight w:val="none"/>
              </w:rPr>
              <w:t xml:space="preserve">投标报价得分＝（评标基准价/投标报价）×分值。</w:t>
            </w:r>
            <w:r>
              <w:rPr>
                <w:rFonts w:ascii="宋体" w:hAnsi="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r>
            <w:r/>
          </w:p>
        </w:tc>
        <w:tc>
          <w:tcPr>
            <w:tcW w:w="759" w:type="dxa"/>
            <w:vAlign w:val="center"/>
            <w:textDirection w:val="lrTb"/>
            <w:noWrap w:val="false"/>
          </w:tcPr>
          <w:p>
            <w:pPr>
              <w:pStyle w:val="1092"/>
              <w:ind w:firstLine="28"/>
              <w:jc w:val="center"/>
              <w:rPr>
                <w:rFonts w:ascii="宋体" w:hAnsi="宋体"/>
                <w:b/>
                <w:bCs/>
                <w:color w:val="000000"/>
                <w:sz w:val="24"/>
                <w:highlight w:val="none"/>
              </w:rPr>
            </w:pPr>
            <w:r>
              <w:rPr>
                <w:rFonts w:hint="eastAsia" w:ascii="宋体" w:hAnsi="宋体"/>
                <w:color w:val="000000"/>
                <w:sz w:val="24"/>
                <w:highlight w:val="none"/>
              </w:rPr>
              <w:t xml:space="preserve">主观分</w:t>
            </w:r>
            <w:r>
              <w:rPr>
                <w:rFonts w:ascii="宋体" w:hAnsi="宋体"/>
                <w:b/>
                <w:bCs/>
                <w:color w:val="000000"/>
                <w:sz w:val="24"/>
                <w:highlight w:val="none"/>
              </w:rPr>
            </w:r>
            <w:r/>
          </w:p>
        </w:tc>
        <w:tc>
          <w:tcPr>
            <w:tcW w:w="47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40</w:t>
            </w:r>
            <w:r>
              <w:rPr>
                <w:rFonts w:ascii="宋体" w:hAnsi="宋体" w:eastAsia="宋体"/>
                <w:color w:val="000000"/>
                <w:sz w:val="24"/>
                <w:highlight w:val="none"/>
                <w:lang w:val="en-US" w:eastAsia="zh-CN"/>
              </w:rPr>
            </w:r>
            <w:r/>
          </w:p>
        </w:tc>
        <w:tc>
          <w:tcPr>
            <w:tcW w:w="2067" w:type="dxa"/>
            <w:vAlign w:val="center"/>
            <w:textDirection w:val="lrTb"/>
            <w:noWrap w:val="false"/>
          </w:tcPr>
          <w:p>
            <w:pPr>
              <w:pStyle w:val="1092"/>
              <w:rPr>
                <w:rFonts w:ascii="宋体" w:hAnsi="宋体"/>
                <w:color w:val="000000"/>
                <w:sz w:val="24"/>
                <w:highlight w:val="none"/>
              </w:rPr>
            </w:pPr>
            <w:r>
              <w:rPr>
                <w:rFonts w:ascii="宋体" w:hAnsi="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s="宋体"/>
                <w:color w:val="000000"/>
                <w:sz w:val="24"/>
                <w:highlight w:val="none"/>
                <w:lang w:val="en-US" w:eastAsia="zh-CN"/>
              </w:rPr>
              <w:t xml:space="preserve">技术方案</w:t>
            </w:r>
            <w:r>
              <w:rPr>
                <w:rFonts w:hint="eastAsia" w:ascii="宋体" w:hAnsi="宋体" w:eastAsia="宋体"/>
                <w:color w:val="000000"/>
                <w:sz w:val="24"/>
                <w:highlight w:val="none"/>
                <w:lang w:eastAsia="zh-CN"/>
              </w:rPr>
            </w:r>
            <w:r/>
          </w:p>
        </w:tc>
        <w:tc>
          <w:tcPr>
            <w:tcW w:w="472"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7" w:type="dxa"/>
            <w:vAlign w:val="center"/>
            <w:textDirection w:val="lrTb"/>
            <w:noWrap w:val="false"/>
          </w:tcPr>
          <w:p>
            <w:pPr>
              <w:pStyle w:val="1092"/>
              <w:rPr>
                <w:rFonts w:hint="eastAsia" w:ascii="宋体" w:hAnsi="宋体" w:eastAsia="宋体" w:cs="宋体"/>
                <w:sz w:val="24"/>
                <w:szCs w:val="24"/>
              </w:rPr>
            </w:pPr>
            <w:r>
              <w:rPr>
                <w:rFonts w:hint="eastAsia" w:ascii="宋体" w:hAnsi="宋体" w:cs="宋体"/>
                <w:color w:val="000000"/>
                <w:sz w:val="24"/>
                <w:highlight w:val="none"/>
              </w:rPr>
              <w:t xml:space="preserve">评委根据供应商提供</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技术方案</w:t>
            </w:r>
            <w:r>
              <w:rPr>
                <w:rFonts w:hint="eastAsia" w:ascii="宋体" w:hAnsi="宋体" w:eastAsia="宋体" w:cs="宋体"/>
                <w:sz w:val="24"/>
                <w:szCs w:val="24"/>
                <w:lang w:val="en-US" w:eastAsia="zh-CN"/>
              </w:rPr>
              <w:t xml:space="preserve">进行评审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包括但不限于</w:t>
            </w:r>
            <w:r>
              <w:rPr>
                <w:rFonts w:hint="eastAsia" w:ascii="宋体" w:hAnsi="宋体" w:eastAsia="宋体" w:cs="宋体"/>
                <w:sz w:val="24"/>
                <w:szCs w:val="24"/>
              </w:rPr>
              <w:t xml:space="preserve">本项目需求的理解 、维保服务的定位分析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现状及维保服务的重点、难点分析及解决措施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投入维保服务所需的各种相关检测检修设备及维护工具等清单的合理及全面性</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r>
            <w:r/>
          </w:p>
          <w:p>
            <w:pPr>
              <w:pStyle w:val="1092"/>
              <w:rPr>
                <w:rFonts w:hint="eastAsia" w:ascii="宋体" w:hAnsi="宋体" w:eastAsia="宋体" w:cs="宋体"/>
                <w:sz w:val="24"/>
                <w:szCs w:val="24"/>
              </w:rPr>
            </w:pPr>
            <w:r>
              <w:rPr>
                <w:rFonts w:hint="eastAsia" w:ascii="宋体" w:hAnsi="宋体" w:eastAsia="宋体" w:cs="宋体"/>
                <w:sz w:val="24"/>
                <w:szCs w:val="24"/>
              </w:rPr>
              <w:t xml:space="preserve">对项目需求理解</w:t>
            </w:r>
            <w:r>
              <w:rPr>
                <w:rFonts w:hint="eastAsia" w:ascii="宋体" w:hAnsi="宋体" w:eastAsia="宋体" w:cs="宋体"/>
                <w:sz w:val="24"/>
                <w:szCs w:val="24"/>
                <w:lang w:val="en-US" w:eastAsia="zh-CN"/>
              </w:rPr>
              <w:t xml:space="preserve">清晰透彻</w:t>
            </w:r>
            <w:r>
              <w:rPr>
                <w:rFonts w:hint="eastAsia" w:ascii="宋体" w:hAnsi="宋体" w:eastAsia="宋体" w:cs="宋体"/>
                <w:sz w:val="24"/>
                <w:szCs w:val="24"/>
              </w:rPr>
              <w:t xml:space="preserve">，维保服务定位准确，清晰分析设备现状及维保重点、难点，解决措施可行有效，配置</w:t>
            </w:r>
            <w:r>
              <w:rPr>
                <w:rFonts w:hint="eastAsia" w:ascii="宋体" w:hAnsi="宋体" w:eastAsia="宋体" w:cs="宋体"/>
                <w:sz w:val="24"/>
                <w:szCs w:val="24"/>
                <w:lang w:val="en-US" w:eastAsia="zh-CN"/>
              </w:rPr>
              <w:t xml:space="preserve">完整且</w:t>
            </w:r>
            <w:r>
              <w:rPr>
                <w:rFonts w:hint="eastAsia" w:ascii="宋体" w:hAnsi="宋体" w:eastAsia="宋体" w:cs="宋体"/>
                <w:sz w:val="24"/>
                <w:szCs w:val="24"/>
              </w:rPr>
              <w:t xml:space="preserve">合理性高，得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92"/>
              <w:rPr>
                <w:rFonts w:hint="eastAsia" w:ascii="宋体" w:hAnsi="宋体" w:eastAsia="宋体" w:cs="宋体"/>
                <w:sz w:val="24"/>
                <w:szCs w:val="24"/>
              </w:rPr>
            </w:pPr>
            <w:r>
              <w:rPr>
                <w:rFonts w:hint="eastAsia" w:ascii="宋体" w:hAnsi="宋体" w:eastAsia="宋体" w:cs="宋体"/>
                <w:sz w:val="24"/>
                <w:szCs w:val="24"/>
              </w:rPr>
              <w:t xml:space="preserve">对项目需求理解</w:t>
            </w:r>
            <w:r>
              <w:rPr>
                <w:rFonts w:hint="eastAsia" w:ascii="宋体" w:hAnsi="宋体" w:eastAsia="宋体" w:cs="宋体"/>
                <w:sz w:val="24"/>
                <w:szCs w:val="24"/>
                <w:lang w:val="en-US" w:eastAsia="zh-CN"/>
              </w:rPr>
              <w:t xml:space="preserve">充分</w:t>
            </w:r>
            <w:r>
              <w:rPr>
                <w:rFonts w:hint="eastAsia" w:ascii="宋体" w:hAnsi="宋体" w:eastAsia="宋体" w:cs="宋体"/>
                <w:sz w:val="24"/>
                <w:szCs w:val="24"/>
              </w:rPr>
              <w:t xml:space="preserve">，维保服务定位</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准确，设备现状及维保重点、难点</w:t>
            </w:r>
            <w:r>
              <w:rPr>
                <w:rFonts w:hint="eastAsia" w:ascii="宋体" w:hAnsi="宋体" w:eastAsia="宋体" w:cs="宋体"/>
                <w:sz w:val="24"/>
                <w:szCs w:val="24"/>
                <w:lang w:val="en-US" w:eastAsia="zh-CN"/>
              </w:rPr>
              <w:t xml:space="preserve">分析合理</w:t>
            </w:r>
            <w:r>
              <w:rPr>
                <w:rFonts w:hint="eastAsia" w:ascii="宋体" w:hAnsi="宋体" w:eastAsia="宋体" w:cs="宋体"/>
                <w:sz w:val="24"/>
                <w:szCs w:val="24"/>
              </w:rPr>
              <w:t xml:space="preserve">，解决措施可行有效，配置</w:t>
            </w:r>
            <w:r>
              <w:rPr>
                <w:rFonts w:hint="eastAsia" w:ascii="宋体" w:hAnsi="宋体" w:eastAsia="宋体" w:cs="宋体"/>
                <w:sz w:val="24"/>
                <w:szCs w:val="24"/>
                <w:lang w:val="en-US" w:eastAsia="zh-CN"/>
              </w:rPr>
              <w:t xml:space="preserve">完整且</w:t>
            </w:r>
            <w:r>
              <w:rPr>
                <w:rFonts w:hint="eastAsia" w:ascii="宋体" w:hAnsi="宋体" w:eastAsia="宋体" w:cs="宋体"/>
                <w:sz w:val="24"/>
                <w:szCs w:val="24"/>
              </w:rPr>
              <w:t xml:space="preserve">合理性</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92"/>
              <w:rPr>
                <w:rFonts w:hint="eastAsia" w:ascii="宋体" w:hAnsi="宋体" w:eastAsia="宋体" w:cs="宋体"/>
                <w:sz w:val="24"/>
                <w:szCs w:val="24"/>
              </w:rPr>
            </w:pPr>
            <w:r>
              <w:rPr>
                <w:rFonts w:hint="eastAsia" w:ascii="宋体" w:hAnsi="宋体" w:eastAsia="宋体" w:cs="宋体"/>
                <w:sz w:val="24"/>
                <w:szCs w:val="24"/>
              </w:rPr>
              <w:t xml:space="preserve">对项目需求理解基本到位，维保服务定位基本准确，能初步分析维保重点、难点，解决措施基本可行，配置基本合理，得4分；</w:t>
            </w:r>
            <w:r>
              <w:rPr>
                <w:rFonts w:hint="eastAsia" w:ascii="宋体" w:hAnsi="宋体" w:eastAsia="宋体" w:cs="宋体"/>
                <w:sz w:val="24"/>
                <w:szCs w:val="24"/>
              </w:rPr>
            </w:r>
            <w:r/>
          </w:p>
          <w:p>
            <w:pPr>
              <w:pStyle w:val="1092"/>
              <w:rPr>
                <w:rFonts w:hint="eastAsia" w:ascii="宋体" w:hAnsi="宋体" w:eastAsia="宋体" w:cs="宋体"/>
                <w:sz w:val="24"/>
                <w:szCs w:val="24"/>
              </w:rPr>
            </w:pPr>
            <w:r>
              <w:rPr>
                <w:rFonts w:hint="eastAsia" w:ascii="宋体" w:hAnsi="宋体" w:eastAsia="宋体" w:cs="宋体"/>
                <w:sz w:val="24"/>
                <w:szCs w:val="24"/>
              </w:rPr>
              <w:t xml:space="preserve">对项目需求理解浅显，维保服务定位模糊，对维保重点、难点分析不够深入，解决措施针对性不强、可行性一般，</w:t>
            </w:r>
            <w:r>
              <w:rPr>
                <w:rFonts w:hint="eastAsia" w:ascii="宋体" w:hAnsi="宋体" w:eastAsia="宋体" w:cs="宋体"/>
                <w:sz w:val="24"/>
                <w:szCs w:val="24"/>
                <w:lang w:val="en-US" w:eastAsia="zh-CN"/>
              </w:rPr>
              <w:t xml:space="preserve">配置不合理不完善</w:t>
            </w:r>
            <w:r>
              <w:rPr>
                <w:rFonts w:hint="eastAsia" w:ascii="宋体" w:hAnsi="宋体" w:eastAsia="宋体" w:cs="宋体"/>
                <w:sz w:val="24"/>
                <w:szCs w:val="24"/>
              </w:rPr>
              <w:t xml:space="preserve">得2分；</w:t>
            </w:r>
            <w:r>
              <w:rPr>
                <w:rFonts w:hint="eastAsia" w:ascii="宋体" w:hAnsi="宋体" w:eastAsia="宋体" w:cs="宋体"/>
                <w:sz w:val="24"/>
                <w:szCs w:val="24"/>
              </w:rPr>
            </w:r>
            <w:r/>
          </w:p>
          <w:p>
            <w:pPr>
              <w:pStyle w:val="1092"/>
              <w:rPr>
                <w:rFonts w:ascii="宋体" w:hAnsi="宋体"/>
                <w:color w:val="000000"/>
                <w:sz w:val="24"/>
                <w:highlight w:val="none"/>
              </w:rPr>
            </w:pPr>
            <w:r>
              <w:rPr>
                <w:rFonts w:hint="eastAsia" w:ascii="宋体" w:hAnsi="宋体" w:eastAsia="宋体" w:cs="宋体"/>
                <w:sz w:val="24"/>
                <w:szCs w:val="24"/>
              </w:rPr>
              <w:t xml:space="preserve">未提供或与项目无关的不得分。</w:t>
            </w:r>
            <w:r>
              <w:rPr>
                <w:rFonts w:ascii="宋体" w:hAnsi="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2.2</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实施方案</w:t>
            </w:r>
            <w:r>
              <w:rPr>
                <w:rFonts w:hint="eastAsia" w:ascii="宋体" w:hAnsi="宋体" w:eastAsia="宋体" w:cs="宋体"/>
                <w:color w:val="000000"/>
                <w:sz w:val="24"/>
                <w:highlight w:val="none"/>
                <w:lang w:eastAsia="zh-CN"/>
              </w:rPr>
            </w:r>
            <w:r/>
          </w:p>
        </w:tc>
        <w:tc>
          <w:tcPr>
            <w:tcW w:w="472"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7" w:type="dxa"/>
            <w:vAlign w:val="center"/>
            <w:textDirection w:val="lrTb"/>
            <w:noWrap w:val="false"/>
          </w:tcPr>
          <w:p>
            <w:pPr>
              <w:pStyle w:val="1092"/>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评委根据供应商提供</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lang w:val="en-US" w:eastAsia="zh-CN"/>
              </w:rPr>
              <w:t xml:space="preserve">实施方案进行评审，包括但不限于</w:t>
            </w:r>
            <w:r>
              <w:rPr>
                <w:rFonts w:hint="eastAsia" w:ascii="宋体" w:hAnsi="宋体" w:eastAsia="宋体" w:cs="宋体"/>
                <w:sz w:val="24"/>
                <w:szCs w:val="24"/>
              </w:rPr>
              <w:t xml:space="preserve">维保服务实施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进度安排的科学性、合理性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应急管理及响应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设备故障处理方案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对所维保设备提供全生命周期管理能力的相关管理和措施</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val="en-US" w:eastAsia="zh-CN"/>
              </w:rPr>
            </w:r>
            <w:r/>
          </w:p>
          <w:p>
            <w:pPr>
              <w:pStyle w:val="1270"/>
              <w:spacing w:line="360" w:lineRule="exact"/>
              <w:rPr>
                <w:rFonts w:hint="eastAsia" w:ascii="宋体" w:hAnsi="宋体" w:eastAsia="宋体" w:cs="宋体"/>
                <w:color w:val="000000"/>
                <w:sz w:val="24"/>
                <w:szCs w:val="24"/>
                <w:highlight w:val="none"/>
              </w:rPr>
            </w:pPr>
            <w:r>
              <w:rPr>
                <w:rFonts w:ascii="宋体" w:hAnsi="宋体" w:eastAsia="宋体" w:cs="宋体"/>
                <w:sz w:val="24"/>
                <w:szCs w:val="24"/>
              </w:rPr>
              <w:t xml:space="preserve">实施方案详实完整、逻辑清晰，维保流程、进度规划科学规范，应急处置、故障处理周全完善，设备全生命周期管理措施落地性极强，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70"/>
              <w:spacing w:line="360" w:lineRule="exact"/>
              <w:rPr>
                <w:rFonts w:hint="eastAsia" w:ascii="宋体" w:hAnsi="宋体" w:eastAsia="宋体" w:cs="宋体"/>
                <w:color w:val="000000"/>
                <w:sz w:val="24"/>
                <w:szCs w:val="24"/>
                <w:highlight w:val="none"/>
              </w:rPr>
            </w:pPr>
            <w:r>
              <w:rPr>
                <w:rFonts w:ascii="宋体" w:hAnsi="宋体" w:eastAsia="宋体" w:cs="宋体"/>
                <w:sz w:val="24"/>
                <w:szCs w:val="24"/>
              </w:rPr>
              <w:t xml:space="preserve">实施方案内容较完整，维保流程、进度安排合理，应急与故障处置方案可行，具备完善的设备全生命周期管理保障措施，</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70"/>
              <w:spacing w:line="360" w:lineRule="exact"/>
              <w:rPr>
                <w:rFonts w:hint="eastAsia" w:ascii="宋体" w:hAnsi="宋体" w:eastAsia="宋体" w:cs="宋体"/>
                <w:color w:val="000000"/>
                <w:sz w:val="24"/>
                <w:szCs w:val="24"/>
                <w:highlight w:val="none"/>
              </w:rPr>
            </w:pPr>
            <w:r>
              <w:rPr>
                <w:rFonts w:ascii="宋体" w:hAnsi="宋体" w:eastAsia="宋体" w:cs="宋体"/>
                <w:sz w:val="24"/>
                <w:szCs w:val="24"/>
              </w:rPr>
              <w:t xml:space="preserve">实施方案架构完整，涵盖维保、进度、应急、故障处理及全生命周期管理全部内容，但表述笼统、细节不足，针对性和落地性一般节不够细化、针对性和落地性一般，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70"/>
              <w:spacing w:line="360" w:lineRule="exact"/>
              <w:rPr>
                <w:rFonts w:hint="eastAsia" w:ascii="宋体" w:hAnsi="宋体" w:eastAsia="宋体" w:cs="宋体"/>
                <w:color w:val="000000"/>
                <w:sz w:val="24"/>
                <w:szCs w:val="24"/>
                <w:highlight w:val="none"/>
              </w:rPr>
            </w:pPr>
            <w:r>
              <w:rPr>
                <w:rFonts w:ascii="宋体" w:hAnsi="宋体" w:eastAsia="宋体" w:cs="宋体"/>
                <w:sz w:val="24"/>
                <w:szCs w:val="24"/>
              </w:rPr>
              <w:t xml:space="preserve">实施方案内容简略粗糙，核心内容缺失或表述空洞，缺乏实际可操作性，</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2"/>
              <w:rPr>
                <w:rFonts w:ascii="宋体" w:hAnsi="宋体"/>
                <w:color w:val="000000"/>
                <w:sz w:val="24"/>
                <w:highlight w:val="none"/>
              </w:rPr>
            </w:pPr>
            <w:r>
              <w:rPr>
                <w:rFonts w:hint="eastAsia" w:ascii="宋体" w:hAnsi="宋体" w:eastAsia="宋体" w:cs="宋体"/>
                <w:color w:val="000000"/>
                <w:sz w:val="24"/>
                <w:szCs w:val="24"/>
                <w:highlight w:val="none"/>
              </w:rPr>
              <w:t xml:space="preserve">未提供不得分。</w:t>
            </w:r>
            <w:r>
              <w:rPr>
                <w:rFonts w:ascii="宋体" w:hAnsi="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2.3</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eastAsia="宋体" w:cs="宋体"/>
                <w:sz w:val="24"/>
                <w:szCs w:val="24"/>
                <w:lang w:val="en-US" w:eastAsia="zh-CN"/>
              </w:rPr>
              <w:t xml:space="preserve">日常管理制度</w:t>
            </w:r>
            <w:r>
              <w:rPr>
                <w:rFonts w:hint="eastAsia" w:ascii="宋体" w:hAnsi="宋体" w:eastAsia="宋体"/>
                <w:color w:val="000000"/>
                <w:sz w:val="24"/>
                <w:highlight w:val="none"/>
                <w:lang w:eastAsia="zh-CN"/>
              </w:rPr>
            </w:r>
            <w:r/>
          </w:p>
        </w:tc>
        <w:tc>
          <w:tcPr>
            <w:tcW w:w="472"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7" w:type="dxa"/>
            <w:vAlign w:val="center"/>
            <w:textDirection w:val="lrTb"/>
            <w:noWrap w:val="false"/>
          </w:tcPr>
          <w:p>
            <w:pPr>
              <w:pStyle w:val="1092"/>
              <w:rPr>
                <w:rFonts w:hint="eastAsia" w:ascii="宋体" w:hAnsi="宋体" w:cs="宋体"/>
                <w:color w:val="000000"/>
                <w:sz w:val="24"/>
                <w:highlight w:val="none"/>
              </w:rPr>
            </w:pPr>
            <w:r>
              <w:rPr>
                <w:rFonts w:hint="eastAsia" w:ascii="宋体" w:hAnsi="宋体" w:cs="宋体"/>
                <w:color w:val="000000"/>
                <w:sz w:val="24"/>
                <w:highlight w:val="none"/>
              </w:rPr>
              <w:t xml:space="preserve">评委根据供应商提供</w:t>
            </w:r>
            <w:r>
              <w:rPr>
                <w:rFonts w:hint="eastAsia" w:ascii="宋体" w:hAnsi="宋体" w:cs="宋体"/>
                <w:color w:val="000000"/>
                <w:sz w:val="24"/>
                <w:highlight w:val="none"/>
                <w:lang w:val="en-US" w:eastAsia="zh-CN"/>
              </w:rPr>
              <w:t xml:space="preserve">的</w:t>
            </w:r>
            <w:r>
              <w:rPr>
                <w:rFonts w:hint="eastAsia" w:ascii="宋体" w:hAnsi="宋体" w:eastAsia="宋体" w:cs="宋体"/>
                <w:sz w:val="24"/>
                <w:szCs w:val="24"/>
                <w:lang w:val="en-US" w:eastAsia="zh-CN"/>
              </w:rPr>
              <w:t xml:space="preserve">日常管理制度</w:t>
            </w:r>
            <w:r>
              <w:rPr>
                <w:rFonts w:hint="eastAsia" w:ascii="宋体" w:hAnsi="宋体" w:cs="宋体"/>
                <w:color w:val="000000"/>
                <w:sz w:val="24"/>
                <w:highlight w:val="none"/>
                <w:lang w:val="en-US" w:eastAsia="zh-CN"/>
              </w:rPr>
              <w:t xml:space="preserve">进行评审，包括但不限于</w:t>
            </w:r>
            <w:r>
              <w:rPr>
                <w:rFonts w:hint="eastAsia" w:ascii="宋体" w:hAnsi="宋体" w:eastAsia="宋体" w:cs="宋体"/>
                <w:sz w:val="24"/>
                <w:szCs w:val="24"/>
              </w:rPr>
              <w:t xml:space="preserve">人员培训计划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奖惩考核及内部管理制度、日常巡检与定期巡检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维护保养档案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信息数据的保密制度管理与措施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针对本项目提供备品备件的能力及易损件管理保养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验收质量控制</w:t>
            </w:r>
            <w:r>
              <w:rPr>
                <w:rFonts w:hint="eastAsia" w:ascii="宋体" w:hAnsi="宋体" w:eastAsia="宋体" w:cs="宋体"/>
                <w:color w:val="000000"/>
                <w:sz w:val="24"/>
                <w:highlight w:val="none"/>
                <w:lang w:val="en-US" w:eastAsia="zh-CN"/>
              </w:rPr>
              <w:t xml:space="preserve">等：</w:t>
            </w:r>
            <w:r>
              <w:rPr>
                <w:rFonts w:hint="eastAsia" w:ascii="宋体" w:hAnsi="宋体" w:cs="宋体"/>
                <w:color w:val="000000"/>
                <w:sz w:val="24"/>
                <w:highlight w:val="none"/>
              </w:rPr>
            </w:r>
            <w:r/>
          </w:p>
          <w:p>
            <w:pPr>
              <w:pStyle w:val="1092"/>
              <w:rPr>
                <w:rFonts w:hint="eastAsia" w:ascii="宋体" w:hAnsi="宋体" w:eastAsia="宋体" w:cs="宋体"/>
                <w:sz w:val="24"/>
                <w:szCs w:val="24"/>
                <w:lang w:val="en-US" w:eastAsia="zh-CN"/>
              </w:rPr>
            </w:pPr>
            <w:r>
              <w:rPr>
                <w:rFonts w:ascii="宋体" w:hAnsi="宋体" w:eastAsia="宋体" w:cs="宋体"/>
                <w:sz w:val="24"/>
                <w:szCs w:val="24"/>
              </w:rPr>
              <w:t xml:space="preserve">制度内容全面完备，各管理体系健全、措施详实，针对性、可操作性极强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得8分；</w:t>
            </w:r>
            <w:r>
              <w:rPr>
                <w:rFonts w:hint="eastAsia" w:ascii="宋体" w:hAnsi="宋体" w:eastAsia="宋体" w:cs="宋体"/>
                <w:sz w:val="24"/>
                <w:szCs w:val="24"/>
                <w:lang w:val="en-US" w:eastAsia="zh-CN"/>
              </w:rPr>
            </w:r>
            <w:r/>
          </w:p>
          <w:p>
            <w:pPr>
              <w:pStyle w:val="1092"/>
              <w:rPr>
                <w:rFonts w:ascii="宋体" w:hAnsi="宋体" w:eastAsia="宋体" w:cs="宋体"/>
                <w:sz w:val="24"/>
                <w:szCs w:val="24"/>
              </w:rPr>
            </w:pPr>
            <w:r>
              <w:rPr>
                <w:rFonts w:ascii="宋体" w:hAnsi="宋体" w:eastAsia="宋体" w:cs="宋体"/>
                <w:sz w:val="24"/>
                <w:szCs w:val="24"/>
              </w:rPr>
              <w:t xml:space="preserve">制度内容全面完备，各管理体系健全、措施详实，针对性、可操作性极强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得6分</w:t>
            </w:r>
            <w:r>
              <w:rPr>
                <w:rFonts w:ascii="宋体" w:hAnsi="宋体" w:eastAsia="宋体" w:cs="宋体"/>
                <w:sz w:val="24"/>
                <w:szCs w:val="24"/>
              </w:rPr>
              <w:t xml:space="preserve">；</w:t>
            </w:r>
            <w:r>
              <w:rPr>
                <w:rFonts w:ascii="宋体" w:hAnsi="宋体" w:eastAsia="宋体" w:cs="宋体"/>
                <w:sz w:val="24"/>
                <w:szCs w:val="24"/>
              </w:rPr>
            </w:r>
            <w:r/>
          </w:p>
          <w:p>
            <w:pPr>
              <w:pStyle w:val="1092"/>
              <w:rPr>
                <w:rFonts w:hint="eastAsia" w:ascii="宋体" w:hAnsi="宋体" w:eastAsia="宋体" w:cs="宋体"/>
                <w:sz w:val="24"/>
                <w:szCs w:val="24"/>
                <w:lang w:val="en-US" w:eastAsia="zh-CN"/>
              </w:rPr>
            </w:pPr>
            <w:r>
              <w:rPr>
                <w:rFonts w:ascii="宋体" w:hAnsi="宋体" w:eastAsia="宋体" w:cs="宋体"/>
                <w:sz w:val="24"/>
                <w:szCs w:val="24"/>
              </w:rPr>
              <w:t xml:space="preserve">制度框架完整，涵盖核心模块，但内容笼统、细节不足，针对性和落地性一般，</w:t>
            </w:r>
            <w:r>
              <w:rPr>
                <w:rFonts w:hint="eastAsia" w:ascii="宋体" w:hAnsi="宋体" w:eastAsia="宋体" w:cs="宋体"/>
                <w:sz w:val="24"/>
                <w:szCs w:val="24"/>
                <w:lang w:val="en-US" w:eastAsia="zh-CN"/>
              </w:rPr>
              <w:t xml:space="preserve">得4分；</w:t>
            </w:r>
            <w:r>
              <w:rPr>
                <w:rFonts w:hint="eastAsia" w:ascii="宋体" w:hAnsi="宋体" w:eastAsia="宋体" w:cs="宋体"/>
                <w:sz w:val="24"/>
                <w:szCs w:val="24"/>
                <w:lang w:val="en-US" w:eastAsia="zh-CN"/>
              </w:rPr>
            </w:r>
            <w:r/>
          </w:p>
          <w:p>
            <w:pPr>
              <w:pStyle w:val="1092"/>
              <w:rPr>
                <w:rFonts w:hint="eastAsia" w:ascii="宋体" w:hAnsi="宋体" w:eastAsia="宋体" w:cs="宋体"/>
                <w:sz w:val="24"/>
                <w:szCs w:val="24"/>
                <w:lang w:val="en-US" w:eastAsia="zh-CN"/>
              </w:rPr>
            </w:pPr>
            <w:r>
              <w:rPr>
                <w:rFonts w:ascii="宋体" w:hAnsi="宋体" w:eastAsia="宋体" w:cs="宋体"/>
                <w:sz w:val="24"/>
                <w:szCs w:val="24"/>
              </w:rPr>
              <w:t xml:space="preserve">制度内容残缺简略，核心模块缺失、措施空洞，无针对性及可操作性，</w:t>
            </w:r>
            <w:r>
              <w:rPr>
                <w:rFonts w:hint="eastAsia" w:ascii="宋体" w:hAnsi="宋体" w:eastAsia="宋体" w:cs="宋体"/>
                <w:sz w:val="24"/>
                <w:szCs w:val="24"/>
                <w:lang w:val="en-US" w:eastAsia="zh-CN"/>
              </w:rPr>
              <w:t xml:space="preserve">得2分；</w:t>
            </w:r>
            <w:r>
              <w:rPr>
                <w:rFonts w:hint="eastAsia" w:ascii="宋体" w:hAnsi="宋体" w:eastAsia="宋体" w:cs="宋体"/>
                <w:sz w:val="24"/>
                <w:szCs w:val="24"/>
                <w:lang w:val="en-US" w:eastAsia="zh-CN"/>
              </w:rPr>
            </w:r>
            <w:r/>
          </w:p>
          <w:p>
            <w:pPr>
              <w:pStyle w:val="1092"/>
              <w:rPr>
                <w:rFonts w:ascii="宋体" w:hAnsi="宋体" w:eastAsia="宋体" w:cs="宋体"/>
                <w:sz w:val="24"/>
                <w:szCs w:val="24"/>
                <w:lang w:val="en-US" w:eastAsia="zh-CN"/>
              </w:rPr>
            </w:pPr>
            <w:r>
              <w:rPr>
                <w:rFonts w:hint="eastAsia" w:ascii="宋体" w:hAnsi="宋体" w:eastAsia="宋体" w:cs="宋体"/>
                <w:color w:val="000000"/>
                <w:sz w:val="24"/>
                <w:szCs w:val="24"/>
                <w:highlight w:val="none"/>
              </w:rPr>
              <w:t xml:space="preserve">未提供不得分。</w:t>
            </w:r>
            <w:r>
              <w:rPr>
                <w:rFonts w:ascii="宋体" w:hAnsi="宋体" w:eastAsia="宋体" w:cs="宋体"/>
                <w:sz w:val="24"/>
                <w:szCs w:val="24"/>
                <w:lang w:val="en-US" w:eastAsia="zh-CN"/>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eastAsia="宋体" w:cs="宋体"/>
                <w:sz w:val="24"/>
                <w:szCs w:val="24"/>
                <w:lang w:val="en-US" w:eastAsia="zh-CN"/>
              </w:rPr>
              <w:t xml:space="preserve">质量控制保障方案</w:t>
            </w:r>
            <w:r>
              <w:rPr>
                <w:rFonts w:hint="eastAsia" w:ascii="宋体" w:hAnsi="宋体"/>
                <w:color w:val="000000"/>
                <w:sz w:val="24"/>
                <w:highlight w:val="none"/>
              </w:rPr>
            </w:r>
            <w:r/>
          </w:p>
        </w:tc>
        <w:tc>
          <w:tcPr>
            <w:tcW w:w="472"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7" w:type="dxa"/>
            <w:vAlign w:val="center"/>
            <w:textDirection w:val="lrTb"/>
            <w:noWrap w:val="false"/>
          </w:tcPr>
          <w:p>
            <w:pPr>
              <w:pStyle w:val="1092"/>
              <w:rPr>
                <w:rFonts w:hint="eastAsia" w:ascii="宋体" w:hAnsi="宋体" w:cs="宋体"/>
                <w:color w:val="000000"/>
                <w:sz w:val="24"/>
                <w:highlight w:val="none"/>
              </w:rPr>
            </w:pPr>
            <w:r>
              <w:rPr>
                <w:rFonts w:hint="eastAsia" w:ascii="宋体" w:hAnsi="宋体" w:cs="宋体"/>
                <w:color w:val="000000"/>
                <w:sz w:val="24"/>
                <w:highlight w:val="none"/>
              </w:rPr>
              <w:t xml:space="preserve">评委根据供应商提供</w:t>
            </w:r>
            <w:r>
              <w:rPr>
                <w:rFonts w:hint="eastAsia" w:ascii="宋体" w:hAnsi="宋体" w:cs="宋体"/>
                <w:color w:val="000000"/>
                <w:sz w:val="24"/>
                <w:highlight w:val="none"/>
                <w:lang w:val="en-US" w:eastAsia="zh-CN"/>
              </w:rPr>
              <w:t xml:space="preserve">的</w:t>
            </w:r>
            <w:r>
              <w:rPr>
                <w:rFonts w:hint="eastAsia" w:ascii="宋体" w:hAnsi="宋体" w:eastAsia="宋体" w:cs="宋体"/>
                <w:sz w:val="24"/>
                <w:szCs w:val="24"/>
                <w:lang w:val="en-US" w:eastAsia="zh-CN"/>
              </w:rPr>
              <w:t xml:space="preserve">质量控制保障方案</w:t>
            </w:r>
            <w:r>
              <w:rPr>
                <w:rFonts w:hint="eastAsia" w:ascii="宋体" w:hAnsi="宋体" w:cs="宋体"/>
                <w:color w:val="000000"/>
                <w:sz w:val="24"/>
                <w:highlight w:val="none"/>
                <w:lang w:val="en-US" w:eastAsia="zh-CN"/>
              </w:rPr>
              <w:t xml:space="preserve">进行评审，包括但不限于质量控制目标、</w:t>
            </w:r>
            <w:r>
              <w:rPr>
                <w:rFonts w:hint="eastAsia" w:ascii="宋体" w:hAnsi="宋体" w:eastAsia="宋体" w:cs="宋体"/>
                <w:sz w:val="24"/>
                <w:szCs w:val="24"/>
                <w:lang w:val="en-US" w:eastAsia="zh-CN"/>
              </w:rPr>
              <w:t xml:space="preserve">质量控制制度、</w:t>
            </w:r>
            <w:r>
              <w:rPr>
                <w:rFonts w:hint="eastAsia" w:ascii="宋体" w:hAnsi="宋体" w:eastAsia="宋体" w:cs="宋体"/>
                <w:sz w:val="24"/>
                <w:szCs w:val="24"/>
              </w:rPr>
              <w:t xml:space="preserve">全过程质量保障措施等</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p>
            <w:pPr>
              <w:pStyle w:val="10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提供的措施质量目标明确、质量控制制度健全、质量保障措施完善的得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提供的措施质量目标较为明确，质量控制制度较全面、质量保障措施较完善的得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提供的措施质量目标基本明确，质量控制制度、质量保障措施基本可行的得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提供的措施质量目标模糊，质量控制制度一般、质量保障措施简单的得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2"/>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应急预案</w:t>
            </w:r>
            <w:r>
              <w:rPr>
                <w:rFonts w:hint="eastAsia" w:ascii="宋体" w:hAnsi="宋体" w:cs="宋体"/>
                <w:bCs/>
                <w:color w:val="000000"/>
                <w:sz w:val="24"/>
                <w:highlight w:val="none"/>
              </w:rPr>
            </w:r>
            <w:r/>
          </w:p>
        </w:tc>
        <w:tc>
          <w:tcPr>
            <w:tcW w:w="472"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7" w:type="dxa"/>
            <w:vAlign w:val="center"/>
            <w:textDirection w:val="lrTb"/>
            <w:noWrap w:val="false"/>
          </w:tcPr>
          <w:p>
            <w:pPr>
              <w:pStyle w:val="1092"/>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供应商需提供本项目维保期间的应急预案，包含但不限于:突发事件的保障措施等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92"/>
              <w:rPr>
                <w:rFonts w:hint="eastAsia" w:ascii="宋体" w:hAnsi="宋体" w:cs="宋体"/>
                <w:color w:val="000000"/>
                <w:sz w:val="24"/>
                <w:highlight w:val="none"/>
              </w:rPr>
            </w:pPr>
            <w:r>
              <w:rPr>
                <w:rFonts w:ascii="宋体" w:hAnsi="宋体" w:eastAsia="宋体" w:cs="宋体"/>
                <w:sz w:val="24"/>
                <w:szCs w:val="24"/>
              </w:rPr>
              <w:t xml:space="preserve">应急预案分析深入、见解到位，内容全面完善，防范及应对措施精细准确，整体针对性极强</w:t>
            </w:r>
            <w:r>
              <w:rPr>
                <w:rFonts w:hint="eastAsia" w:ascii="宋体" w:hAnsi="宋体" w:eastAsia="宋体" w:cs="宋体"/>
                <w:sz w:val="24"/>
                <w:szCs w:val="24"/>
                <w:lang w:eastAsia="zh-CN"/>
              </w:rPr>
              <w:t xml:space="preserve">，</w:t>
            </w:r>
            <w:r>
              <w:rPr>
                <w:rFonts w:hint="eastAsia" w:ascii="宋体" w:hAnsi="宋体" w:cs="宋体"/>
                <w:color w:val="000000"/>
                <w:sz w:val="24"/>
                <w:highlight w:val="none"/>
              </w:rPr>
              <w:t xml:space="preserve">得8分；</w:t>
            </w:r>
            <w:r>
              <w:rPr>
                <w:rFonts w:hint="eastAsia" w:ascii="宋体" w:hAnsi="宋体" w:cs="宋体"/>
                <w:color w:val="000000"/>
                <w:sz w:val="24"/>
                <w:highlight w:val="none"/>
              </w:rPr>
            </w:r>
            <w:r/>
          </w:p>
          <w:p>
            <w:pPr>
              <w:pStyle w:val="1092"/>
              <w:rPr>
                <w:rFonts w:hint="eastAsia" w:ascii="宋体" w:hAnsi="宋体" w:cs="宋体"/>
                <w:color w:val="000000"/>
                <w:sz w:val="24"/>
                <w:highlight w:val="none"/>
              </w:rPr>
            </w:pPr>
            <w:r>
              <w:rPr>
                <w:rFonts w:ascii="宋体" w:hAnsi="宋体" w:eastAsia="宋体" w:cs="宋体"/>
                <w:sz w:val="24"/>
                <w:szCs w:val="24"/>
              </w:rPr>
              <w:t xml:space="preserve">应急预案分析较深入，内容较为完整，防范及应对措施合理可行，整体针对性较强</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92"/>
              <w:rPr>
                <w:rFonts w:hint="eastAsia" w:ascii="宋体" w:hAnsi="宋体" w:cs="宋体"/>
                <w:color w:val="000000"/>
                <w:sz w:val="24"/>
                <w:highlight w:val="none"/>
              </w:rPr>
            </w:pPr>
            <w:r>
              <w:rPr>
                <w:rFonts w:ascii="宋体" w:hAnsi="宋体" w:eastAsia="宋体" w:cs="宋体"/>
                <w:sz w:val="24"/>
                <w:szCs w:val="24"/>
              </w:rPr>
              <w:t xml:space="preserve">应急预案内容基本完整，有基本防范及应对措施，整体针对性一般</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92"/>
              <w:rPr>
                <w:rFonts w:hint="eastAsia" w:ascii="宋体" w:hAnsi="宋体" w:eastAsia="宋体" w:cs="宋体"/>
                <w:color w:val="000000"/>
                <w:sz w:val="24"/>
                <w:highlight w:val="none"/>
                <w:lang w:eastAsia="zh-CN"/>
              </w:rPr>
            </w:pPr>
            <w:r>
              <w:rPr>
                <w:rFonts w:ascii="宋体" w:hAnsi="宋体" w:eastAsia="宋体" w:cs="宋体"/>
                <w:sz w:val="24"/>
                <w:szCs w:val="24"/>
              </w:rPr>
              <w:t xml:space="preserve">应急预案内容简略，应对措施不完善，针对性较弱</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highlight w:val="none"/>
                <w:lang w:eastAsia="zh-CN"/>
              </w:rPr>
            </w:r>
            <w:r/>
          </w:p>
          <w:p>
            <w:pPr>
              <w:pStyle w:val="1092"/>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cs="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40</w:t>
            </w:r>
            <w:r>
              <w:rPr>
                <w:rFonts w:ascii="宋体" w:hAnsi="宋体" w:eastAsia="宋体"/>
                <w:color w:val="000000"/>
                <w:sz w:val="24"/>
                <w:highlight w:val="none"/>
                <w:lang w:val="en-US" w:eastAsia="zh-CN"/>
              </w:rPr>
            </w:r>
            <w:r/>
          </w:p>
        </w:tc>
        <w:tc>
          <w:tcPr>
            <w:tcW w:w="2067" w:type="dxa"/>
            <w:vAlign w:val="center"/>
            <w:textDirection w:val="lrTb"/>
            <w:noWrap w:val="false"/>
          </w:tcPr>
          <w:p>
            <w:pPr>
              <w:pStyle w:val="1092"/>
              <w:rPr>
                <w:rFonts w:ascii="宋体" w:hAnsi="宋体"/>
                <w:color w:val="000000"/>
                <w:sz w:val="24"/>
                <w:highlight w:val="none"/>
              </w:rPr>
            </w:pPr>
            <w:r>
              <w:rPr>
                <w:rFonts w:ascii="宋体" w:hAnsi="宋体"/>
                <w:color w:val="000000"/>
                <w:sz w:val="24"/>
                <w:highlight w:val="none"/>
              </w:rPr>
            </w:r>
            <w:r/>
          </w:p>
        </w:tc>
        <w:tc>
          <w:tcPr>
            <w:tcW w:w="1268" w:type="dxa"/>
            <w:vAlign w:val="center"/>
            <w:textDirection w:val="lrTb"/>
            <w:noWrap w:val="false"/>
          </w:tcPr>
          <w:p>
            <w:pPr>
              <w:pStyle w:val="1092"/>
              <w:ind w:left="-38"/>
              <w:rPr>
                <w:rFonts w:ascii="宋体" w:hAnsi="宋体"/>
                <w:color w:val="000000"/>
                <w:sz w:val="24"/>
                <w:highlight w:val="none"/>
              </w:rPr>
            </w:pPr>
            <w:r>
              <w:rPr>
                <w:rFonts w:ascii="宋体" w:hAnsi="宋体"/>
                <w:color w:val="000000"/>
                <w:sz w:val="24"/>
                <w:highlight w:val="none"/>
              </w:rPr>
            </w:r>
            <w:r/>
          </w:p>
        </w:tc>
      </w:tr>
      <w:tr>
        <w:trPr>
          <w:trHeight w:val="90"/>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采购需求</w:t>
            </w:r>
            <w:r>
              <w:rPr>
                <w:rFonts w:hint="eastAsia" w:ascii="宋体" w:hAnsi="宋体" w:eastAsia="宋体"/>
                <w:color w:val="000000"/>
                <w:sz w:val="24"/>
                <w:highlight w:val="none"/>
                <w:lang w:eastAsia="zh-CN"/>
              </w:rPr>
            </w:r>
            <w:r/>
          </w:p>
        </w:tc>
        <w:tc>
          <w:tcPr>
            <w:tcW w:w="47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w:t>
            </w:r>
            <w:r>
              <w:rPr>
                <w:rFonts w:ascii="宋体" w:hAnsi="宋体" w:eastAsia="宋体"/>
                <w:color w:val="000000"/>
                <w:sz w:val="24"/>
                <w:highlight w:val="none"/>
                <w:lang w:val="en-US" w:eastAsia="zh-CN"/>
              </w:rPr>
            </w:r>
            <w:r/>
          </w:p>
        </w:tc>
        <w:tc>
          <w:tcPr>
            <w:tcW w:w="2067" w:type="dxa"/>
            <w:vAlign w:val="center"/>
            <w:textDirection w:val="lrTb"/>
            <w:noWrap w:val="false"/>
          </w:tcPr>
          <w:p>
            <w:pPr>
              <w:pStyle w:val="1092"/>
              <w:rPr>
                <w:rFonts w:ascii="宋体" w:hAnsi="宋体" w:eastAsia="宋体"/>
                <w:color w:val="000000"/>
                <w:sz w:val="24"/>
                <w:highlight w:val="none"/>
                <w:lang w:val="en-US" w:eastAsia="zh-CN"/>
              </w:rPr>
            </w:pPr>
            <w:r>
              <w:rPr>
                <w:rFonts w:hint="eastAsia" w:ascii="宋体" w:hAnsi="宋体" w:cs="宋体"/>
                <w:color w:val="000000"/>
                <w:sz w:val="24"/>
                <w:highlight w:val="none"/>
                <w:lang w:val="zh-CN"/>
              </w:rPr>
              <w:t xml:space="preserve">完全满足招标文件“</w:t>
            </w:r>
            <w:r>
              <w:rPr>
                <w:rFonts w:hint="eastAsia" w:ascii="宋体" w:hAnsi="宋体" w:eastAsia="宋体" w:cs="Times New Roman"/>
                <w:b/>
                <w:color w:val="000000"/>
                <w:sz w:val="24"/>
                <w:szCs w:val="24"/>
                <w:highlight w:val="none"/>
              </w:rPr>
              <w:t xml:space="preserve">设备维保服务要求</w:t>
            </w:r>
            <w:r>
              <w:rPr>
                <w:rFonts w:hint="eastAsia" w:ascii="宋体" w:hAnsi="宋体" w:cs="宋体"/>
                <w:color w:val="000000"/>
                <w:sz w:val="24"/>
                <w:highlight w:val="none"/>
                <w:lang w:val="zh-CN"/>
              </w:rPr>
              <w:t xml:space="preserve">”的得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分；有</w:t>
            </w:r>
            <w:r>
              <w:rPr>
                <w:rFonts w:hint="eastAsia" w:ascii="宋体" w:hAnsi="宋体" w:cs="宋体"/>
                <w:color w:val="000000"/>
                <w:sz w:val="24"/>
                <w:highlight w:val="none"/>
                <w:lang w:val="en-US" w:eastAsia="zh-CN"/>
              </w:rPr>
              <w:t xml:space="preserve">任意</w:t>
            </w:r>
            <w:r>
              <w:rPr>
                <w:rFonts w:hint="eastAsia" w:ascii="宋体" w:hAnsi="宋体" w:cs="宋体"/>
                <w:color w:val="000000"/>
                <w:sz w:val="24"/>
                <w:highlight w:val="none"/>
                <w:lang w:val="zh-CN"/>
              </w:rPr>
              <w:t xml:space="preserve">一项负偏离</w:t>
            </w:r>
            <w:r>
              <w:rPr>
                <w:rFonts w:hint="eastAsia" w:ascii="宋体" w:hAnsi="宋体" w:cs="宋体"/>
                <w:color w:val="000000"/>
                <w:sz w:val="24"/>
                <w:highlight w:val="none"/>
                <w:lang w:val="en-US" w:eastAsia="zh-CN"/>
              </w:rPr>
              <w:t xml:space="preserve">本项不得分</w:t>
            </w:r>
            <w:r>
              <w:rPr>
                <w:rFonts w:hint="eastAsia" w:ascii="宋体" w:hAnsi="宋体" w:cs="宋体"/>
                <w:color w:val="000000"/>
                <w:sz w:val="24"/>
                <w:highlight w:val="none"/>
                <w:lang w:val="zh-CN"/>
              </w:rPr>
              <w:t xml:space="preserve">。</w:t>
            </w:r>
            <w:r>
              <w:rPr>
                <w:rFonts w:ascii="宋体" w:hAnsi="宋体" w:eastAsia="宋体"/>
                <w:color w:val="000000"/>
                <w:sz w:val="24"/>
                <w:highlight w:val="none"/>
                <w:lang w:val="en-US" w:eastAsia="zh-CN"/>
              </w:rPr>
            </w:r>
            <w:r/>
          </w:p>
        </w:tc>
        <w:tc>
          <w:tcPr>
            <w:tcW w:w="1268" w:type="dxa"/>
            <w:vAlign w:val="center"/>
            <w:textDirection w:val="lrTb"/>
            <w:noWrap w:val="false"/>
          </w:tcPr>
          <w:p>
            <w:pPr>
              <w:pStyle w:val="1092"/>
              <w:ind w:left="-38"/>
              <w:rPr>
                <w:rFonts w:ascii="宋体" w:hAnsi="宋体"/>
                <w:color w:val="000000"/>
                <w:sz w:val="24"/>
                <w:highlight w:val="none"/>
              </w:rPr>
            </w:pPr>
            <w:r>
              <w:rPr>
                <w:rFonts w:hint="eastAsia" w:ascii="宋体" w:hAnsi="宋体" w:eastAsia="宋体" w:cs="宋体"/>
                <w:sz w:val="24"/>
                <w:szCs w:val="24"/>
                <w:lang w:val="en-US" w:eastAsia="zh-CN"/>
              </w:rPr>
              <w:t xml:space="preserve">投标单位根据要求如实响应</w:t>
            </w:r>
            <w:r>
              <w:rPr>
                <w:rFonts w:ascii="宋体" w:hAnsi="宋体"/>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业绩</w:t>
            </w:r>
            <w:r>
              <w:rPr>
                <w:rFonts w:hint="eastAsia" w:ascii="宋体" w:hAnsi="宋体" w:eastAsia="宋体"/>
                <w:color w:val="000000"/>
                <w:sz w:val="24"/>
                <w:highlight w:val="none"/>
                <w:lang w:eastAsia="zh-CN"/>
              </w:rPr>
            </w:r>
            <w:r/>
          </w:p>
        </w:tc>
        <w:tc>
          <w:tcPr>
            <w:tcW w:w="472"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5</w:t>
            </w:r>
            <w:r>
              <w:rPr>
                <w:rFonts w:hint="eastAsia" w:ascii="宋体" w:hAnsi="宋体" w:eastAsia="宋体"/>
                <w:color w:val="000000"/>
                <w:sz w:val="24"/>
                <w:highlight w:val="none"/>
                <w:lang w:eastAsia="zh-CN"/>
              </w:rPr>
            </w:r>
            <w:r/>
          </w:p>
        </w:tc>
        <w:tc>
          <w:tcPr>
            <w:tcW w:w="2067" w:type="dxa"/>
            <w:vAlign w:val="center"/>
            <w:textDirection w:val="lrTb"/>
            <w:noWrap w:val="false"/>
          </w:tcPr>
          <w:p>
            <w:pPr>
              <w:pStyle w:val="1092"/>
              <w:keepLines w:val="0"/>
              <w:keepNext w:val="0"/>
              <w:pageBreakBefore w:val="0"/>
              <w:spacing w:line="440" w:lineRule="exact"/>
              <w:widowControl w:val="off"/>
              <w:rPr>
                <w:rFonts w:hint="eastAsia" w:ascii="宋体" w:hAnsi="宋体"/>
                <w:color w:val="000000"/>
                <w:sz w:val="24"/>
                <w:highlight w:val="none"/>
              </w:rPr>
            </w:pPr>
            <w:r>
              <w:rPr>
                <w:rFonts w:hint="eastAsia" w:ascii="宋体" w:hAnsi="宋体" w:eastAsia="宋体" w:cs="宋体"/>
                <w:sz w:val="24"/>
                <w:szCs w:val="24"/>
                <w:lang w:val="en-US" w:eastAsia="zh-CN"/>
              </w:rPr>
              <w:t xml:space="preserve">投标提供2023年1月1日以来承接的医疗设备整体维保服务案例（维保设备类型同时包含超声类、放射类、内窥镜类等），每提供1份合同得1分，最高得5分。</w:t>
            </w:r>
            <w:r>
              <w:rPr>
                <w:rFonts w:hint="eastAsia" w:ascii="宋体" w:hAnsi="宋体"/>
                <w:color w:val="000000"/>
                <w:sz w:val="24"/>
                <w:highlight w:val="none"/>
              </w:rPr>
            </w:r>
            <w:r/>
          </w:p>
        </w:tc>
        <w:tc>
          <w:tcPr>
            <w:tcW w:w="1268" w:type="dxa"/>
            <w:vAlign w:val="center"/>
            <w:textDirection w:val="lrTb"/>
            <w:noWrap w:val="false"/>
          </w:tcPr>
          <w:p>
            <w:pPr>
              <w:pStyle w:val="1092"/>
              <w:ind w:left="-38"/>
              <w:rPr>
                <w:rFonts w:hint="eastAsia" w:ascii="宋体" w:hAnsi="宋体" w:eastAsia="宋体" w:cs="宋体"/>
                <w:b/>
                <w:bCs/>
                <w:sz w:val="24"/>
                <w:szCs w:val="24"/>
              </w:rPr>
            </w:pPr>
            <w:r>
              <w:rPr>
                <w:rFonts w:hint="eastAsia" w:ascii="宋体" w:hAnsi="宋体" w:eastAsia="宋体" w:cs="宋体"/>
                <w:b/>
                <w:bCs/>
                <w:sz w:val="24"/>
                <w:szCs w:val="24"/>
              </w:rPr>
              <w:t xml:space="preserve">提供：①通知书</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(中标通知书或成交通知书)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②</w:t>
            </w:r>
            <w:r>
              <w:rPr>
                <w:rFonts w:hint="eastAsia" w:ascii="宋体" w:hAnsi="宋体" w:eastAsia="宋体" w:cs="宋体"/>
                <w:b/>
                <w:bCs/>
                <w:sz w:val="24"/>
                <w:szCs w:val="24"/>
                <w:lang w:val="en-US" w:eastAsia="zh-CN"/>
              </w:rPr>
              <w:t xml:space="preserve">项目签订合同扫描件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③</w:t>
            </w:r>
            <w:r>
              <w:rPr>
                <w:rFonts w:hint="eastAsia" w:ascii="宋体" w:hAnsi="宋体" w:eastAsia="宋体" w:cs="宋体"/>
                <w:b/>
                <w:bCs/>
                <w:sz w:val="24"/>
                <w:szCs w:val="24"/>
                <w:lang w:val="en-US" w:eastAsia="zh-CN"/>
              </w:rPr>
              <w:t xml:space="preserve">中标或成交公告网页截图</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④</w:t>
            </w:r>
            <w:r>
              <w:rPr>
                <w:rFonts w:hint="eastAsia" w:ascii="宋体" w:hAnsi="宋体" w:eastAsia="宋体" w:cs="宋体"/>
                <w:b/>
                <w:bCs/>
                <w:sz w:val="24"/>
                <w:szCs w:val="24"/>
                <w:lang w:val="en-US" w:eastAsia="zh-CN"/>
              </w:rPr>
              <w:t xml:space="preserve">项目对应的银行收款材料证明</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1092"/>
              <w:ind w:left="-38"/>
              <w:rPr>
                <w:rFonts w:ascii="宋体" w:hAnsi="宋体"/>
                <w:color w:val="000000"/>
                <w:sz w:val="24"/>
                <w:highlight w:val="none"/>
              </w:rPr>
            </w:pPr>
            <w:r>
              <w:rPr>
                <w:rFonts w:hint="eastAsia" w:ascii="宋体" w:hAnsi="宋体" w:eastAsia="宋体" w:cs="宋体"/>
                <w:b/>
                <w:bCs/>
                <w:sz w:val="24"/>
                <w:szCs w:val="24"/>
              </w:rPr>
              <w:t xml:space="preserve">提供的证明材料</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应清晰可辨。无对应业绩或未按照要求提供证明材料</w:t>
            </w:r>
            <w:r>
              <w:rPr>
                <w:rFonts w:hint="eastAsia" w:ascii="宋体" w:hAnsi="宋体" w:eastAsia="宋体" w:cs="宋体"/>
                <w:b/>
                <w:bCs/>
                <w:sz w:val="24"/>
                <w:szCs w:val="24"/>
                <w:lang w:val="en-US" w:eastAsia="zh-CN"/>
              </w:rPr>
              <w:t xml:space="preserve">或者提供材料不齐全</w:t>
            </w:r>
            <w:r>
              <w:rPr>
                <w:rFonts w:hint="eastAsia" w:ascii="宋体" w:hAnsi="宋体" w:eastAsia="宋体" w:cs="宋体"/>
                <w:b/>
                <w:bCs/>
                <w:sz w:val="24"/>
                <w:szCs w:val="24"/>
              </w:rPr>
              <w:t xml:space="preserve">的不能被赋予相应分值。</w:t>
            </w:r>
            <w:r>
              <w:rPr>
                <w:rFonts w:ascii="宋体" w:hAnsi="宋体"/>
                <w:color w:val="000000"/>
                <w:sz w:val="24"/>
                <w:highlight w:val="none"/>
              </w:rPr>
            </w:r>
            <w:r/>
          </w:p>
        </w:tc>
      </w:tr>
      <w:tr>
        <w:trPr>
          <w:trHeight w:val="1203"/>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场地要求</w:t>
            </w:r>
            <w:r>
              <w:rPr>
                <w:rFonts w:ascii="宋体" w:hAnsi="宋体" w:eastAsia="宋体"/>
                <w:color w:val="000000"/>
                <w:sz w:val="24"/>
                <w:highlight w:val="none"/>
                <w:lang w:val="en-US" w:eastAsia="zh-CN"/>
              </w:rPr>
            </w:r>
            <w:r/>
          </w:p>
        </w:tc>
        <w:tc>
          <w:tcPr>
            <w:tcW w:w="472"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eastAsia="zh-CN"/>
              </w:rPr>
            </w:r>
            <w:r/>
          </w:p>
        </w:tc>
        <w:tc>
          <w:tcPr>
            <w:tcW w:w="2067" w:type="dxa"/>
            <w:vAlign w:val="center"/>
            <w:textDirection w:val="lrTb"/>
            <w:noWrap w:val="false"/>
          </w:tcPr>
          <w:p>
            <w:pPr>
              <w:pStyle w:val="10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1、投标人具有用于备件存放、设备维修的场地，满足要求得1分。</w:t>
            </w:r>
            <w:r>
              <w:rPr>
                <w:rFonts w:hint="eastAsia" w:ascii="宋体" w:hAnsi="宋体" w:eastAsia="宋体" w:cs="宋体"/>
                <w:sz w:val="24"/>
                <w:szCs w:val="24"/>
                <w:lang w:val="en-US" w:eastAsia="zh-CN"/>
              </w:rPr>
            </w:r>
            <w:r/>
          </w:p>
          <w:p>
            <w:pPr>
              <w:pStyle w:val="1092"/>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2、投标人具有有效期内的辐射安全许可证，且所载的</w:t>
            </w:r>
            <w:r>
              <w:rPr>
                <w:rFonts w:ascii="宋体" w:hAnsi="宋体" w:eastAsia="宋体" w:cs="宋体"/>
                <w:sz w:val="24"/>
                <w:szCs w:val="24"/>
              </w:rPr>
              <w:t xml:space="preserve">辐射活动场所（实际作业地）</w:t>
            </w:r>
            <w:r>
              <w:rPr>
                <w:rFonts w:hint="eastAsia" w:ascii="宋体" w:hAnsi="宋体" w:eastAsia="宋体" w:cs="宋体"/>
                <w:sz w:val="24"/>
                <w:szCs w:val="24"/>
                <w:lang w:val="en-US" w:eastAsia="zh-CN"/>
              </w:rPr>
              <w:t xml:space="preserve">与维修场地一致</w:t>
            </w:r>
            <w:r>
              <w:rPr>
                <w:rFonts w:hint="eastAsia" w:ascii="宋体" w:hAnsi="宋体" w:eastAsia="宋体" w:cs="宋体"/>
                <w:sz w:val="24"/>
                <w:szCs w:val="24"/>
                <w:lang w:val="en-US" w:eastAsia="zh-CN"/>
              </w:rPr>
              <w:t xml:space="preserve">，满足得2分。</w:t>
            </w:r>
            <w:r>
              <w:rPr>
                <w:rFonts w:ascii="宋体" w:hAnsi="宋体" w:eastAsia="宋体" w:cs="宋体"/>
                <w:sz w:val="24"/>
                <w:szCs w:val="24"/>
                <w:lang w:val="en-US" w:eastAsia="zh-CN"/>
              </w:rPr>
            </w:r>
            <w:r/>
          </w:p>
        </w:tc>
        <w:tc>
          <w:tcPr>
            <w:tcW w:w="1268" w:type="dxa"/>
            <w:vAlign w:val="center"/>
            <w:textDirection w:val="lrTb"/>
            <w:noWrap w:val="false"/>
          </w:tcPr>
          <w:p>
            <w:pPr>
              <w:pStyle w:val="1092"/>
              <w:ind w:left="-38"/>
              <w:rPr>
                <w:rFonts w:hint="eastAsia" w:ascii="宋体" w:hAnsi="宋体"/>
                <w:b/>
                <w:bCs/>
                <w:color w:val="000000"/>
                <w:sz w:val="24"/>
                <w:highlight w:val="none"/>
              </w:rPr>
            </w:pPr>
            <w:r>
              <w:rPr>
                <w:rFonts w:hint="eastAsia" w:ascii="宋体" w:hAnsi="宋体" w:eastAsia="宋体" w:cs="宋体"/>
                <w:b/>
                <w:bCs/>
                <w:sz w:val="24"/>
                <w:szCs w:val="24"/>
                <w:lang w:val="en-US" w:eastAsia="zh-CN"/>
              </w:rPr>
              <w:t xml:space="preserve">提供①场地信息（包括但不限于地址、产权登记证书或租赁合同、场地内部照片、现场联系人电话等）、②提供证书复印件。</w:t>
            </w:r>
            <w:r>
              <w:rPr>
                <w:rFonts w:hint="eastAsia" w:ascii="宋体" w:hAnsi="宋体"/>
                <w:b/>
                <w:bCs/>
                <w:color w:val="000000"/>
                <w:sz w:val="24"/>
                <w:highlight w:val="none"/>
              </w:rPr>
            </w:r>
            <w:r/>
          </w:p>
        </w:tc>
      </w:tr>
      <w:tr>
        <w:trPr>
          <w:trHeight w:val="454"/>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投标人能力</w:t>
            </w:r>
            <w:r>
              <w:rPr>
                <w:rFonts w:ascii="宋体" w:hAnsi="宋体" w:eastAsia="宋体"/>
                <w:color w:val="000000"/>
                <w:sz w:val="24"/>
                <w:highlight w:val="none"/>
                <w:lang w:val="en-US" w:eastAsia="zh-CN"/>
              </w:rPr>
            </w:r>
            <w:r/>
          </w:p>
        </w:tc>
        <w:tc>
          <w:tcPr>
            <w:tcW w:w="472"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eastAsia="zh-CN"/>
              </w:rPr>
            </w:r>
            <w:r/>
          </w:p>
        </w:tc>
        <w:tc>
          <w:tcPr>
            <w:tcW w:w="2067" w:type="dxa"/>
            <w:vAlign w:val="center"/>
            <w:textDirection w:val="lrTb"/>
            <w:noWrap w:val="false"/>
          </w:tcPr>
          <w:p>
            <w:pPr>
              <w:pStyle w:val="1092"/>
              <w:rPr>
                <w:rFonts w:hint="eastAsia" w:ascii="宋体" w:hAnsi="宋体"/>
                <w:color w:val="000000"/>
                <w:sz w:val="24"/>
                <w:highlight w:val="none"/>
              </w:rPr>
            </w:pPr>
            <w:r>
              <w:rPr>
                <w:rFonts w:hint="eastAsia" w:ascii="宋体" w:hAnsi="宋体" w:eastAsia="宋体" w:cs="宋体"/>
                <w:sz w:val="24"/>
                <w:szCs w:val="24"/>
                <w:lang w:val="en-US" w:eastAsia="zh-CN"/>
              </w:rPr>
              <w:t xml:space="preserve">针对磁共振设备，投标人具有磁共振设备维修涉及的专业维修工具：射频功率校准仪、匀场仪、涡流工具、励磁电源工具，全部满足得2分，否则不得分。</w:t>
            </w:r>
            <w:r>
              <w:rPr>
                <w:rFonts w:hint="eastAsia" w:ascii="宋体" w:hAnsi="宋体"/>
                <w:color w:val="000000"/>
                <w:sz w:val="24"/>
                <w:highlight w:val="none"/>
              </w:rPr>
            </w:r>
            <w:r/>
          </w:p>
        </w:tc>
        <w:tc>
          <w:tcPr>
            <w:tcW w:w="1268" w:type="dxa"/>
            <w:vAlign w:val="center"/>
            <w:textDirection w:val="lrTb"/>
            <w:noWrap w:val="false"/>
          </w:tcPr>
          <w:p>
            <w:pPr>
              <w:pStyle w:val="1092"/>
              <w:ind w:left="-38"/>
              <w:rPr>
                <w:rFonts w:hint="eastAsia" w:ascii="宋体" w:hAnsi="宋体"/>
                <w:b/>
                <w:bCs/>
                <w:color w:val="000000"/>
                <w:sz w:val="24"/>
                <w:highlight w:val="none"/>
              </w:rPr>
            </w:pPr>
            <w:r>
              <w:rPr>
                <w:rFonts w:hint="eastAsia" w:ascii="宋体" w:hAnsi="宋体" w:eastAsia="宋体" w:cs="宋体"/>
                <w:b/>
                <w:bCs/>
                <w:sz w:val="24"/>
                <w:szCs w:val="24"/>
                <w:lang w:val="en-US" w:eastAsia="zh-CN"/>
              </w:rPr>
              <w:t xml:space="preserve">提供专业维修工具的现场图片和采购证明文件</w:t>
            </w:r>
            <w:r>
              <w:rPr>
                <w:rFonts w:hint="eastAsia" w:ascii="宋体" w:hAnsi="宋体" w:eastAsia="宋体" w:cs="宋体"/>
                <w:b/>
                <w:bCs/>
                <w:sz w:val="24"/>
                <w:szCs w:val="24"/>
                <w:lang w:val="en-US" w:eastAsia="zh-CN"/>
              </w:rPr>
              <w:t xml:space="preserve">，未提供或提供的资料不全不得分。</w:t>
            </w:r>
            <w:r>
              <w:rPr>
                <w:rFonts w:hint="eastAsia" w:ascii="宋体" w:hAnsi="宋体"/>
                <w:b/>
                <w:bCs/>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3.5</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团队</w:t>
            </w:r>
            <w:r>
              <w:rPr>
                <w:rFonts w:hint="eastAsia" w:ascii="宋体" w:hAnsi="宋体"/>
                <w:color w:val="000000"/>
                <w:sz w:val="24"/>
                <w:highlight w:val="none"/>
                <w:lang w:val="en-US" w:eastAsia="zh-CN"/>
              </w:rPr>
              <w:t xml:space="preserve">人员</w:t>
            </w:r>
            <w:r>
              <w:rPr>
                <w:rFonts w:hint="eastAsia" w:ascii="宋体" w:hAnsi="宋体" w:eastAsia="宋体"/>
                <w:color w:val="000000"/>
                <w:sz w:val="24"/>
                <w:highlight w:val="none"/>
                <w:lang w:val="en-US" w:eastAsia="zh-CN"/>
              </w:rPr>
            </w:r>
            <w:r/>
          </w:p>
        </w:tc>
        <w:tc>
          <w:tcPr>
            <w:tcW w:w="47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eastAsia="宋体"/>
                <w:color w:val="000000"/>
                <w:sz w:val="24"/>
                <w:highlight w:val="none"/>
                <w:lang w:val="en-US" w:eastAsia="zh-CN"/>
              </w:rPr>
            </w:r>
            <w:r/>
          </w:p>
        </w:tc>
        <w:tc>
          <w:tcPr>
            <w:tcW w:w="206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1.拟派维修人员</w:t>
            </w:r>
            <w:r>
              <w:rPr>
                <w:rFonts w:hint="eastAsia" w:ascii="宋体" w:hAnsi="宋体" w:eastAsia="宋体" w:cs="宋体"/>
                <w:sz w:val="24"/>
                <w:szCs w:val="24"/>
              </w:rPr>
              <w:t xml:space="preserve">，具有超声、监护、除颤、血透、内镜、特种设备等中小型设备医疗设备维修</w:t>
            </w:r>
            <w:r>
              <w:rPr>
                <w:rFonts w:hint="eastAsia" w:ascii="宋体" w:hAnsi="宋体" w:eastAsia="宋体" w:cs="宋体"/>
                <w:sz w:val="24"/>
                <w:szCs w:val="24"/>
                <w:lang w:val="en-US" w:eastAsia="zh-CN"/>
              </w:rPr>
              <w:t xml:space="preserve">能力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提供厂家出具的维修培训合格证书，每有1类设备的维修证书计0.2分，最多得1分。（同类设备的维修证书仅计取1次）</w:t>
            </w:r>
            <w:r>
              <w:rPr>
                <w:rFonts w:hint="eastAsia" w:ascii="宋体" w:hAnsi="宋体" w:eastAsia="宋体" w:cs="宋体"/>
                <w:sz w:val="24"/>
                <w:szCs w:val="24"/>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2.拟派维修人员</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人力资源和社会保障局颁发的</w:t>
            </w:r>
            <w:r>
              <w:rPr>
                <w:rFonts w:ascii="宋体" w:hAnsi="宋体" w:eastAsia="宋体" w:cs="宋体"/>
                <w:sz w:val="24"/>
                <w:szCs w:val="24"/>
              </w:rPr>
              <w:t xml:space="preserve">医疗设备管理工程师</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医疗设备维修工程师</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医疗器械工程师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具备本科及以上学历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每配备1人满足上述要求的得0.5分，最高得3分。</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拟派维修人员取得</w:t>
            </w:r>
            <w:r>
              <w:rPr>
                <w:rFonts w:hint="eastAsia" w:ascii="宋体" w:hAnsi="宋体" w:eastAsia="宋体" w:cs="宋体"/>
                <w:sz w:val="24"/>
                <w:szCs w:val="24"/>
              </w:rPr>
              <w:t xml:space="preserve">大型影像设备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GE、</w:t>
            </w:r>
            <w:r>
              <w:rPr>
                <w:rFonts w:hint="eastAsia" w:ascii="宋体" w:hAnsi="宋体" w:eastAsia="宋体" w:cs="宋体"/>
                <w:sz w:val="24"/>
                <w:szCs w:val="24"/>
                <w:lang w:val="en-US" w:eastAsia="zh-CN"/>
              </w:rPr>
              <w:t xml:space="preserve">飞利浦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联影</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的原厂培训证书，每提供1份得0.5分，最高得3分。</w:t>
            </w:r>
            <w:r>
              <w:rPr>
                <w:rFonts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color w:val="000000"/>
                <w:sz w:val="24"/>
                <w:highlight w:val="none"/>
              </w:rPr>
            </w:pPr>
            <w:r>
              <w:rPr>
                <w:rFonts w:hint="eastAsia" w:ascii="宋体" w:hAnsi="宋体" w:eastAsia="宋体" w:cs="宋体"/>
                <w:sz w:val="24"/>
                <w:szCs w:val="24"/>
                <w:lang w:val="en-US" w:eastAsia="zh-CN"/>
              </w:rPr>
              <w:t xml:space="preserve">4.拟派驻场人员具有①2年及以上医疗设备维修经验、②具有</w:t>
            </w:r>
            <w:r>
              <w:rPr>
                <w:rFonts w:hint="eastAsia" w:ascii="宋体" w:hAnsi="宋体" w:eastAsia="宋体" w:cs="宋体"/>
                <w:sz w:val="24"/>
                <w:szCs w:val="24"/>
              </w:rPr>
              <w:t xml:space="preserve">生物医学工程类专业或机械类或仪器类或自动化类或电子信息类或计算机类或工学类专业</w:t>
            </w:r>
            <w:r>
              <w:rPr>
                <w:rFonts w:hint="eastAsia" w:ascii="宋体" w:hAnsi="宋体" w:eastAsia="宋体" w:cs="宋体"/>
                <w:sz w:val="24"/>
                <w:szCs w:val="24"/>
                <w:lang w:val="en-US" w:eastAsia="zh-CN"/>
              </w:rPr>
              <w:t xml:space="preserve">大专及以上</w:t>
            </w:r>
            <w:r>
              <w:rPr>
                <w:rFonts w:hint="eastAsia" w:ascii="宋体" w:hAnsi="宋体" w:eastAsia="宋体" w:cs="宋体"/>
                <w:sz w:val="24"/>
                <w:szCs w:val="24"/>
              </w:rPr>
              <w:t xml:space="preserve">学历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每配备1人同上满足上述条件的得1分，最高得2分。</w:t>
            </w:r>
            <w:r>
              <w:rPr>
                <w:rFonts w:hint="eastAsia" w:ascii="宋体" w:hAnsi="宋体"/>
                <w:color w:val="000000"/>
                <w:sz w:val="24"/>
                <w:highlight w:val="none"/>
              </w:rPr>
            </w:r>
            <w:r/>
          </w:p>
        </w:tc>
        <w:tc>
          <w:tcPr>
            <w:tcW w:w="1268" w:type="dxa"/>
            <w:vAlign w:val="center"/>
            <w:textDirection w:val="lrTb"/>
            <w:noWrap w:val="false"/>
          </w:tcPr>
          <w:p>
            <w:pPr>
              <w:pStyle w:val="1092"/>
              <w:ind w:left="-38"/>
              <w:rPr>
                <w:rFonts w:hint="eastAsia" w:ascii="宋体" w:hAnsi="宋体"/>
                <w:b/>
                <w:bCs/>
                <w:color w:val="000000"/>
                <w:sz w:val="24"/>
                <w:highlight w:val="none"/>
              </w:rPr>
            </w:pPr>
            <w:r>
              <w:rPr>
                <w:rFonts w:hint="eastAsia" w:ascii="宋体" w:hAnsi="宋体"/>
                <w:b/>
                <w:bCs/>
                <w:color w:val="000000"/>
                <w:sz w:val="24"/>
                <w:highlight w:val="none"/>
              </w:rPr>
              <w:t xml:space="preserve">提供</w:t>
            </w:r>
            <w:r>
              <w:rPr>
                <w:rFonts w:hint="eastAsia" w:ascii="宋体" w:hAnsi="宋体"/>
                <w:b/>
                <w:bCs/>
                <w:color w:val="000000"/>
                <w:sz w:val="24"/>
                <w:highlight w:val="none"/>
                <w:lang w:val="en-US" w:eastAsia="zh-CN"/>
              </w:rPr>
              <w:t xml:space="preserve">上述人员</w:t>
            </w:r>
            <w:r>
              <w:rPr>
                <w:rFonts w:hint="eastAsia" w:ascii="宋体" w:hAnsi="宋体"/>
                <w:b/>
                <w:bCs/>
                <w:color w:val="000000"/>
                <w:sz w:val="24"/>
                <w:highlight w:val="none"/>
              </w:rPr>
              <w:t xml:space="preserve">证书扫描件和投标人为其缴纳的</w:t>
            </w:r>
            <w:r>
              <w:rPr>
                <w:rFonts w:hint="eastAsia" w:ascii="宋体" w:hAnsi="宋体" w:eastAsia="宋体" w:cs="宋体"/>
                <w:b/>
                <w:bCs/>
                <w:sz w:val="24"/>
                <w:szCs w:val="24"/>
                <w:lang w:val="en-US" w:eastAsia="zh-CN"/>
              </w:rPr>
              <w:t xml:space="preserve">近六个月连续</w:t>
            </w:r>
            <w:r>
              <w:rPr>
                <w:rFonts w:hint="eastAsia" w:ascii="宋体" w:hAnsi="宋体" w:eastAsia="宋体" w:cs="宋体"/>
                <w:b/>
                <w:bCs/>
                <w:sz w:val="24"/>
                <w:szCs w:val="24"/>
              </w:rPr>
              <w:t xml:space="preserve">三个月企业为其购买的</w:t>
            </w:r>
            <w:r>
              <w:rPr>
                <w:rFonts w:hint="eastAsia" w:ascii="宋体" w:hAnsi="宋体"/>
                <w:b/>
                <w:bCs/>
                <w:color w:val="000000"/>
                <w:sz w:val="24"/>
                <w:highlight w:val="none"/>
              </w:rPr>
              <w:t xml:space="preserve">社保证明材料并加盖投标人公章，</w:t>
            </w:r>
            <w:r>
              <w:rPr>
                <w:rFonts w:hint="eastAsia" w:ascii="宋体" w:hAnsi="宋体"/>
                <w:b/>
                <w:bCs/>
                <w:color w:val="000000"/>
                <w:sz w:val="24"/>
                <w:highlight w:val="none"/>
                <w:lang w:val="en-US" w:eastAsia="zh-CN"/>
              </w:rPr>
              <w:t xml:space="preserve">其中主场人员还需提供工作经验证明材料，</w:t>
            </w:r>
            <w:r>
              <w:rPr>
                <w:rFonts w:hint="eastAsia" w:ascii="宋体" w:hAnsi="宋体"/>
                <w:b/>
                <w:bCs/>
                <w:color w:val="000000"/>
                <w:sz w:val="24"/>
                <w:highlight w:val="none"/>
              </w:rPr>
              <w:t xml:space="preserve">未提供或提供的材料不齐全不得分。</w:t>
            </w:r>
            <w:r>
              <w:rPr>
                <w:rFonts w:hint="eastAsia" w:ascii="宋体" w:hAnsi="宋体"/>
                <w:b/>
                <w:bCs/>
                <w:color w:val="000000"/>
                <w:sz w:val="24"/>
                <w:highlight w:val="none"/>
              </w:rPr>
            </w:r>
            <w:r/>
          </w:p>
        </w:tc>
      </w:tr>
      <w:tr>
        <w:trPr/>
        <w:tc>
          <w:tcPr>
            <w:tcW w:w="432" w:type="dxa"/>
            <w:vAlign w:val="center"/>
            <w:textDirection w:val="lrTb"/>
            <w:noWrap w:val="false"/>
          </w:tcPr>
          <w:p>
            <w:pPr>
              <w:pStyle w:val="1092"/>
              <w:ind w:firstLine="28"/>
              <w:jc w:val="center"/>
              <w:rPr>
                <w:rFonts w:ascii="宋体" w:hAnsi="宋体"/>
                <w:color w:val="000000"/>
                <w:sz w:val="24"/>
                <w:highlight w:val="none"/>
              </w:rPr>
            </w:pPr>
            <w:r>
              <w:rPr>
                <w:rFonts w:hint="eastAsia" w:ascii="宋体" w:hAnsi="宋体"/>
                <w:color w:val="000000"/>
                <w:sz w:val="24"/>
                <w:highlight w:val="none"/>
              </w:rPr>
              <w:t xml:space="preserve">3.6</w:t>
            </w:r>
            <w:r>
              <w:rPr>
                <w:rFonts w:ascii="宋体" w:hAnsi="宋体"/>
                <w:color w:val="000000"/>
                <w:sz w:val="24"/>
                <w:highlight w:val="none"/>
              </w:rPr>
            </w:r>
            <w:r/>
          </w:p>
        </w:tc>
        <w:tc>
          <w:tcPr>
            <w:tcW w:w="759"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eastAsia="宋体" w:cs="宋体"/>
                <w:sz w:val="24"/>
                <w:szCs w:val="24"/>
                <w:lang w:val="en-US" w:eastAsia="zh-CN"/>
              </w:rPr>
              <w:t xml:space="preserve">医疗设备远程监控平台</w:t>
            </w:r>
            <w:r>
              <w:rPr>
                <w:rFonts w:hint="eastAsia" w:ascii="宋体" w:hAnsi="宋体"/>
                <w:color w:val="000000"/>
                <w:sz w:val="24"/>
                <w:highlight w:val="none"/>
              </w:rPr>
            </w:r>
            <w:r/>
          </w:p>
        </w:tc>
        <w:tc>
          <w:tcPr>
            <w:tcW w:w="472"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eastAsia="zh-CN"/>
              </w:rPr>
            </w:r>
            <w:r/>
          </w:p>
        </w:tc>
        <w:tc>
          <w:tcPr>
            <w:tcW w:w="206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人具备医疗设备远程监控平台，平台满足以下要求：</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①能实时监控大型影像设备的运行状态；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eastAsia="宋体"/>
                <w:lang w:eastAsia="zh-CN"/>
              </w:rPr>
            </w:pPr>
            <w:r>
              <w:rPr>
                <w:rFonts w:hint="eastAsia" w:eastAsia="宋体"/>
                <w:lang w:val="en-US" w:eastAsia="zh-CN"/>
              </w:rPr>
              <w:t xml:space="preserve">②</w:t>
            </w:r>
            <w:r>
              <w:rPr>
                <w:rFonts w:hint="eastAsia" w:ascii="宋体" w:hAnsi="宋体" w:eastAsia="宋体" w:cs="宋体"/>
                <w:sz w:val="24"/>
                <w:szCs w:val="24"/>
                <w:lang w:val="en-US" w:eastAsia="zh-CN"/>
              </w:rPr>
              <w:t xml:space="preserve">平台在线监控影像设备500台以上</w:t>
            </w:r>
            <w:r>
              <w:rPr>
                <w:rFonts w:hint="eastAsia" w:eastAsia="宋体"/>
                <w:lang w:eastAsia="zh-CN"/>
              </w:rPr>
              <w:t xml:space="preserve">；</w:t>
            </w:r>
            <w:r>
              <w:rPr>
                <w:rFonts w:hint="eastAsia" w:eastAsia="宋体"/>
                <w:lang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eastAsia="宋体"/>
                <w:lang w:val="en-US" w:eastAsia="zh-CN"/>
              </w:rPr>
              <w:t xml:space="preserve">③</w:t>
            </w:r>
            <w:r>
              <w:rPr>
                <w:rFonts w:hint="eastAsia" w:ascii="宋体" w:hAnsi="宋体" w:eastAsia="宋体" w:cs="宋体"/>
                <w:sz w:val="24"/>
                <w:szCs w:val="24"/>
                <w:lang w:val="en-US" w:eastAsia="zh-CN"/>
              </w:rPr>
              <w:t xml:space="preserve">能对设备关键信息进行数据监控（如球管曝光秒次、球管单日用量、液氦水平、磁体压力、冷头温度、温湿度等）</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④可进行设备的风险提示、异常提示、离线提示等。</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ascii="宋体" w:hAnsi="宋体" w:eastAsia="宋体"/>
                <w:color w:val="000000"/>
                <w:sz w:val="24"/>
                <w:highlight w:val="none"/>
                <w:lang w:val="en-US" w:eastAsia="zh-CN"/>
              </w:rPr>
            </w:pPr>
            <w:r>
              <w:rPr>
                <w:rFonts w:hint="eastAsia" w:ascii="宋体" w:hAnsi="宋体" w:eastAsia="宋体" w:cs="宋体"/>
                <w:sz w:val="24"/>
                <w:szCs w:val="24"/>
                <w:lang w:val="en-US" w:eastAsia="zh-CN"/>
              </w:rPr>
              <w:t xml:space="preserve">提供远程监控系统符合以上要求的监控界面，每满足1项得0.5分，最高得2分。</w:t>
            </w:r>
            <w:r>
              <w:rPr>
                <w:rFonts w:ascii="宋体" w:hAnsi="宋体" w:eastAsia="宋体"/>
                <w:color w:val="000000"/>
                <w:sz w:val="24"/>
                <w:highlight w:val="none"/>
                <w:lang w:val="en-US" w:eastAsia="zh-CN"/>
              </w:rPr>
            </w:r>
            <w:r/>
          </w:p>
        </w:tc>
        <w:tc>
          <w:tcPr>
            <w:tcW w:w="1268" w:type="dxa"/>
            <w:vAlign w:val="center"/>
            <w:textDirection w:val="lrTb"/>
            <w:noWrap w:val="false"/>
          </w:tcPr>
          <w:p>
            <w:pPr>
              <w:pStyle w:val="1092"/>
              <w:ind w:left="-38"/>
              <w:rPr>
                <w:rFonts w:hint="eastAsia" w:ascii="宋体" w:hAnsi="宋体"/>
                <w:b/>
                <w:bCs/>
                <w:color w:val="000000"/>
                <w:sz w:val="24"/>
                <w:highlight w:val="none"/>
              </w:rPr>
            </w:pPr>
            <w:r>
              <w:rPr>
                <w:rFonts w:hint="eastAsia" w:ascii="宋体" w:hAnsi="宋体"/>
                <w:b/>
                <w:bCs/>
                <w:color w:val="000000"/>
                <w:sz w:val="24"/>
                <w:highlight w:val="none"/>
              </w:rPr>
            </w:r>
            <w:r/>
          </w:p>
        </w:tc>
      </w:tr>
      <w:tr>
        <w:trPr/>
        <w:tc>
          <w:tcPr>
            <w:tcW w:w="43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3.7</w:t>
            </w:r>
            <w:r>
              <w:rPr>
                <w:rFonts w:ascii="宋体" w:hAnsi="宋体" w:eastAsia="宋体"/>
                <w:color w:val="000000"/>
                <w:sz w:val="24"/>
                <w:highlight w:val="none"/>
                <w:lang w:val="en-US" w:eastAsia="zh-CN"/>
              </w:rPr>
            </w:r>
            <w:r/>
          </w:p>
        </w:tc>
        <w:tc>
          <w:tcPr>
            <w:tcW w:w="759"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eastAsia="宋体" w:cs="宋体"/>
                <w:sz w:val="24"/>
                <w:szCs w:val="24"/>
                <w:lang w:val="en-US" w:eastAsia="zh-CN"/>
              </w:rPr>
              <w:t xml:space="preserve">质控设备</w:t>
            </w:r>
            <w:r>
              <w:rPr>
                <w:rFonts w:hint="eastAsia" w:ascii="宋体" w:hAnsi="宋体"/>
                <w:color w:val="000000"/>
                <w:sz w:val="24"/>
                <w:highlight w:val="none"/>
              </w:rPr>
            </w:r>
            <w:r/>
          </w:p>
        </w:tc>
        <w:tc>
          <w:tcPr>
            <w:tcW w:w="47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w:t>
            </w:r>
            <w:r>
              <w:rPr>
                <w:rFonts w:ascii="宋体" w:hAnsi="宋体" w:eastAsia="宋体"/>
                <w:color w:val="000000"/>
                <w:sz w:val="24"/>
                <w:highlight w:val="none"/>
                <w:lang w:val="en-US" w:eastAsia="zh-CN"/>
              </w:rPr>
            </w:r>
            <w:r/>
          </w:p>
        </w:tc>
        <w:tc>
          <w:tcPr>
            <w:tcW w:w="206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1、投标人需提供质控设备为医院提供维修后的质控服务，具有具有中国合格评定国家认可委员会（CNAS）的实验室认可有效证书或检验检测机构资质认定证书（CMA）得1分；配备以下质控设备：</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除颤器/经皮起搏器分析仪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生命体征模拟仪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高斯计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医用非介入X射线管电压测试仪(kVp计)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X射线诊断水平剂量仪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紫外辐射照度计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电气安全分析仪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高频电刀分析仪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呼吸机测试仪（气流分析仪）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婴儿培养箱检测仪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心电监护仪检定仪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心脑电图机检定仪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血液透析装置检测仪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医用注射泵和输液泵检测仪</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数字示波器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数字万用表(手持)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乳腺机性能检测模体</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牙科CT机性能检测模体</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医用 CR/DR性能模体-低对比度</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透射式黑白密度计</w:t>
            </w:r>
            <w:r>
              <w:rPr>
                <w:rFonts w:hint="eastAsia" w:ascii="宋体" w:hAnsi="宋体" w:eastAsia="宋体" w:cs="宋体"/>
                <w:sz w:val="24"/>
                <w:szCs w:val="24"/>
                <w:lang w:val="en-US" w:eastAsia="zh-CN"/>
              </w:rPr>
            </w:r>
            <w:r/>
          </w:p>
          <w:p>
            <w:pPr>
              <w:pStyle w:val="10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全部满足得10分，每缺少一项扣0.5分，扣完为止。</w:t>
            </w:r>
            <w:r>
              <w:rPr>
                <w:rFonts w:hint="eastAsia" w:ascii="宋体" w:hAnsi="宋体" w:eastAsia="宋体" w:cs="宋体"/>
                <w:sz w:val="24"/>
                <w:szCs w:val="24"/>
                <w:lang w:val="en-US" w:eastAsia="zh-CN"/>
              </w:rPr>
            </w:r>
            <w:r/>
          </w:p>
          <w:p>
            <w:pPr>
              <w:pStyle w:val="1092"/>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本项最高得11分。</w:t>
            </w:r>
            <w:r>
              <w:rPr>
                <w:rFonts w:ascii="宋体" w:hAnsi="宋体" w:eastAsia="宋体" w:cs="宋体"/>
                <w:sz w:val="24"/>
                <w:szCs w:val="24"/>
                <w:lang w:val="en-US" w:eastAsia="zh-CN"/>
              </w:rPr>
            </w:r>
            <w:r/>
          </w:p>
        </w:tc>
        <w:tc>
          <w:tcPr>
            <w:tcW w:w="1268" w:type="dxa"/>
            <w:vAlign w:val="center"/>
            <w:textDirection w:val="lrTb"/>
            <w:noWrap w:val="false"/>
          </w:tcPr>
          <w:p>
            <w:pPr>
              <w:pStyle w:val="1092"/>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提供证书和质控设备清单、现场照片、购买记录，未提供或缺项的不得分</w:t>
            </w:r>
            <w:r>
              <w:rPr>
                <w:rFonts w:ascii="宋体" w:hAnsi="宋体" w:eastAsia="宋体"/>
                <w:b/>
                <w:bCs/>
                <w:color w:val="000000"/>
                <w:sz w:val="24"/>
                <w:highlight w:val="none"/>
                <w:lang w:val="en-US" w:eastAsia="zh-CN"/>
              </w:rPr>
            </w:r>
            <w:r/>
          </w:p>
        </w:tc>
      </w:tr>
      <w:tr>
        <w:trPr/>
        <w:tc>
          <w:tcPr>
            <w:tcW w:w="432"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eastAsia="zh-CN"/>
              </w:rPr>
            </w:r>
            <w:r/>
          </w:p>
        </w:tc>
        <w:tc>
          <w:tcPr>
            <w:tcW w:w="759"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企业实力</w:t>
            </w:r>
            <w:r>
              <w:rPr>
                <w:rFonts w:hint="eastAsia" w:ascii="宋体" w:hAnsi="宋体" w:eastAsia="宋体"/>
                <w:color w:val="000000"/>
                <w:sz w:val="24"/>
                <w:highlight w:val="none"/>
                <w:lang w:eastAsia="zh-CN"/>
              </w:rPr>
            </w:r>
            <w:r/>
          </w:p>
        </w:tc>
        <w:tc>
          <w:tcPr>
            <w:tcW w:w="472" w:type="dxa"/>
            <w:vAlign w:val="center"/>
            <w:textDirection w:val="lrTb"/>
            <w:noWrap w:val="false"/>
          </w:tcPr>
          <w:p>
            <w:pPr>
              <w:pStyle w:val="1092"/>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eastAsia="zh-CN"/>
              </w:rPr>
            </w:r>
            <w:r/>
          </w:p>
        </w:tc>
        <w:tc>
          <w:tcPr>
            <w:tcW w:w="206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投标人具备较好的管理体系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具备</w:t>
            </w:r>
            <w:r>
              <w:rPr>
                <w:rFonts w:hint="eastAsia" w:ascii="宋体" w:hAnsi="宋体" w:eastAsia="宋体" w:cs="宋体"/>
                <w:sz w:val="24"/>
                <w:szCs w:val="24"/>
                <w:lang w:val="en-US" w:eastAsia="zh-CN"/>
              </w:rPr>
              <w:t xml:space="preserve">如下体系认证：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医疗器械质量管理体系认证</w:t>
            </w:r>
            <w:r>
              <w:rPr>
                <w:rFonts w:hint="eastAsia" w:ascii="宋体" w:hAnsi="宋体" w:eastAsia="宋体" w:cs="宋体"/>
                <w:sz w:val="24"/>
                <w:szCs w:val="24"/>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资产管理体系认证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设施管理体系认证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信息技术服务管理体系认证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信息安全管理体系认证</w:t>
            </w:r>
            <w:r>
              <w:rPr>
                <w:rFonts w:hint="eastAsia" w:ascii="宋体" w:hAnsi="宋体" w:eastAsia="宋体" w:cs="宋体"/>
                <w:sz w:val="24"/>
                <w:szCs w:val="24"/>
                <w:lang w:val="en-US" w:eastAsia="zh-CN"/>
              </w:rPr>
            </w:r>
            <w:r/>
          </w:p>
          <w:p>
            <w:pPr>
              <w:pStyle w:val="1092"/>
              <w:rPr>
                <w:rFonts w:hint="eastAsia" w:ascii="宋体" w:hAnsi="宋体" w:eastAsia="宋体"/>
                <w:color w:val="000000"/>
                <w:sz w:val="24"/>
                <w:highlight w:val="none"/>
                <w:lang w:eastAsia="zh-CN"/>
              </w:rPr>
            </w:pPr>
            <w:r>
              <w:rPr>
                <w:rFonts w:hint="eastAsia" w:ascii="宋体" w:hAnsi="宋体" w:eastAsia="宋体"/>
                <w:color w:val="000000"/>
                <w:sz w:val="24"/>
                <w:highlight w:val="none"/>
                <w:lang w:val="en-US" w:eastAsia="zh-CN"/>
              </w:rPr>
              <w:t xml:space="preserve">满足任意1项得0.5分，最高得2分。</w:t>
            </w:r>
            <w:r>
              <w:rPr>
                <w:rFonts w:hint="eastAsia" w:ascii="宋体" w:hAnsi="宋体" w:eastAsia="宋体"/>
                <w:color w:val="000000"/>
                <w:sz w:val="24"/>
                <w:highlight w:val="none"/>
                <w:lang w:eastAsia="zh-CN"/>
              </w:rPr>
            </w:r>
            <w:r/>
          </w:p>
        </w:tc>
        <w:tc>
          <w:tcPr>
            <w:tcW w:w="1268" w:type="dxa"/>
            <w:vAlign w:val="center"/>
            <w:textDirection w:val="lrTb"/>
            <w:noWrap w:val="false"/>
          </w:tcPr>
          <w:p>
            <w:pPr>
              <w:pStyle w:val="1092"/>
              <w:ind w:left="-38"/>
              <w:rPr>
                <w:rFonts w:ascii="宋体" w:hAnsi="宋体"/>
                <w:b/>
                <w:bCs/>
                <w:color w:val="000000"/>
                <w:sz w:val="24"/>
                <w:highlight w:val="none"/>
              </w:rPr>
            </w:pPr>
            <w:r>
              <w:rPr>
                <w:rFonts w:hint="eastAsia" w:ascii="宋体" w:hAnsi="宋体"/>
                <w:b/>
                <w:bCs/>
                <w:color w:val="000000"/>
                <w:sz w:val="24"/>
                <w:highlight w:val="none"/>
              </w:rPr>
              <w:t xml:space="preserve">提供有效证书扫描件及认监委网站"有效"状态截图扫描件加盖投标人公章，未提供或未按要求提供均不得分。</w:t>
            </w:r>
            <w:r>
              <w:rPr>
                <w:rFonts w:ascii="宋体" w:hAnsi="宋体"/>
                <w:b/>
                <w:bCs/>
                <w:color w:val="000000"/>
                <w:sz w:val="24"/>
                <w:highlight w:val="none"/>
              </w:rPr>
            </w:r>
            <w:r/>
          </w:p>
        </w:tc>
      </w:tr>
      <w:tr>
        <w:trPr/>
        <w:tc>
          <w:tcPr>
            <w:tcW w:w="432" w:type="dxa"/>
            <w:vAlign w:val="center"/>
            <w:textDirection w:val="lrTb"/>
            <w:noWrap w:val="false"/>
          </w:tcPr>
          <w:p>
            <w:pPr>
              <w:pStyle w:val="1092"/>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3.9</w:t>
            </w:r>
            <w:r>
              <w:rPr>
                <w:rFonts w:ascii="宋体" w:hAnsi="宋体" w:eastAsia="宋体"/>
                <w:color w:val="000000"/>
                <w:sz w:val="24"/>
                <w:highlight w:val="none"/>
                <w:lang w:val="en-US" w:eastAsia="zh-CN"/>
              </w:rPr>
            </w:r>
            <w:r/>
          </w:p>
        </w:tc>
        <w:tc>
          <w:tcPr>
            <w:tcW w:w="759" w:type="dxa"/>
            <w:vAlign w:val="center"/>
            <w:textDirection w:val="lrTb"/>
            <w:noWrap w:val="false"/>
          </w:tcPr>
          <w:p>
            <w:pPr>
              <w:pStyle w:val="1092"/>
              <w:ind w:firstLine="28"/>
              <w:jc w:val="center"/>
              <w:rPr>
                <w:rFonts w:hint="eastAsia" w:ascii="宋体" w:hAnsi="宋体"/>
                <w:color w:val="000000"/>
                <w:sz w:val="24"/>
                <w:highlight w:val="none"/>
              </w:rPr>
            </w:pPr>
            <w:r>
              <w:rPr>
                <w:rFonts w:hint="eastAsia" w:ascii="宋体" w:hAnsi="宋体" w:eastAsia="宋体" w:cs="宋体"/>
                <w:sz w:val="24"/>
                <w:szCs w:val="24"/>
                <w:lang w:val="en-US" w:eastAsia="zh-CN"/>
              </w:rPr>
              <w:t xml:space="preserve">公众责任保险</w:t>
            </w:r>
            <w:r>
              <w:rPr>
                <w:rFonts w:hint="eastAsia" w:ascii="宋体" w:hAnsi="宋体"/>
                <w:color w:val="000000"/>
                <w:sz w:val="24"/>
                <w:highlight w:val="none"/>
              </w:rPr>
            </w:r>
            <w:r/>
          </w:p>
        </w:tc>
        <w:tc>
          <w:tcPr>
            <w:tcW w:w="472" w:type="dxa"/>
            <w:vAlign w:val="center"/>
            <w:textDirection w:val="lrTb"/>
            <w:noWrap w:val="false"/>
          </w:tcPr>
          <w:p>
            <w:pPr>
              <w:pStyle w:val="1092"/>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w:t>
            </w:r>
            <w:r>
              <w:rPr>
                <w:rFonts w:ascii="宋体" w:hAnsi="宋体"/>
                <w:color w:val="000000"/>
                <w:sz w:val="24"/>
                <w:highlight w:val="none"/>
                <w:lang w:val="en-US" w:eastAsia="zh-CN"/>
              </w:rPr>
            </w:r>
            <w:r/>
          </w:p>
        </w:tc>
        <w:tc>
          <w:tcPr>
            <w:tcW w:w="2067" w:type="dxa"/>
            <w:vAlign w:val="center"/>
            <w:textDirection w:val="lrTb"/>
            <w:noWrap w:val="false"/>
          </w:tcPr>
          <w:p>
            <w:pPr>
              <w:pStyle w:val="10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投标人承诺，中标后为医院服务购买公众责任保险，且保额不低于500万的，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c>
          <w:tcPr>
            <w:tcW w:w="1268" w:type="dxa"/>
            <w:vAlign w:val="center"/>
            <w:textDirection w:val="lrTb"/>
            <w:noWrap w:val="false"/>
          </w:tcPr>
          <w:p>
            <w:pPr>
              <w:pStyle w:val="1092"/>
              <w:ind w:left="-38"/>
              <w:rPr>
                <w:rFonts w:ascii="宋体" w:hAnsi="宋体"/>
                <w:b/>
                <w:bCs/>
                <w:color w:val="000000"/>
                <w:sz w:val="24"/>
                <w:highlight w:val="none"/>
                <w:lang w:val="en-US"/>
              </w:rPr>
            </w:pPr>
            <w:r>
              <w:rPr>
                <w:rFonts w:hint="eastAsia" w:ascii="宋体" w:hAnsi="宋体" w:eastAsia="宋体" w:cs="宋体"/>
                <w:b/>
                <w:bCs/>
                <w:sz w:val="24"/>
                <w:szCs w:val="24"/>
                <w:lang w:val="en-US" w:eastAsia="zh-CN"/>
              </w:rPr>
              <w:t xml:space="preserve">提供承诺函加盖公章</w:t>
            </w:r>
            <w:r>
              <w:rPr>
                <w:rFonts w:ascii="宋体" w:hAnsi="宋体"/>
                <w:b/>
                <w:bCs/>
                <w:color w:val="000000"/>
                <w:sz w:val="24"/>
                <w:highlight w:val="none"/>
                <w:lang w:val="en-US"/>
              </w:rPr>
            </w:r>
            <w:r/>
          </w:p>
        </w:tc>
      </w:tr>
      <w:tr>
        <w:trPr/>
        <w:tc>
          <w:tcPr>
            <w:gridSpan w:val="2"/>
            <w:tcW w:w="2211" w:type="dxa"/>
            <w:vAlign w:val="center"/>
            <w:textDirection w:val="lrTb"/>
            <w:noWrap w:val="false"/>
          </w:tcPr>
          <w:p>
            <w:pPr>
              <w:pStyle w:val="1092"/>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2" w:type="dxa"/>
            <w:vAlign w:val="center"/>
            <w:textDirection w:val="lrTb"/>
            <w:noWrap w:val="false"/>
          </w:tcPr>
          <w:p>
            <w:pPr>
              <w:pStyle w:val="1092"/>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4" w:type="dxa"/>
            <w:vAlign w:val="center"/>
            <w:textDirection w:val="lrTb"/>
            <w:noWrap w:val="false"/>
          </w:tcPr>
          <w:p>
            <w:pPr>
              <w:pStyle w:val="1092"/>
              <w:rPr>
                <w:rFonts w:ascii="宋体" w:hAnsi="宋体"/>
                <w:color w:val="000000"/>
                <w:sz w:val="24"/>
                <w:highlight w:val="none"/>
              </w:rPr>
            </w:pPr>
            <w:r>
              <w:rPr>
                <w:rFonts w:ascii="宋体" w:hAnsi="宋体"/>
                <w:color w:val="000000"/>
                <w:sz w:val="24"/>
                <w:highlight w:val="none"/>
              </w:rPr>
            </w:r>
            <w:r/>
          </w:p>
        </w:tc>
      </w:tr>
    </w:tbl>
    <w:p>
      <w:pPr>
        <w:pStyle w:val="109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9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186"/>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b/>
          <w:bCs w:val="0"/>
          <w:i w:val="0"/>
          <w:iCs w:val="0"/>
          <w:color w:val="000000"/>
          <w:sz w:val="24"/>
          <w:szCs w:val="24"/>
          <w:highlight w:val="none"/>
          <w:lang w:eastAsia="zh-CN"/>
        </w:rPr>
        <w:t xml:space="preserve">（</w:t>
      </w:r>
      <w:r>
        <w:rPr>
          <w:rFonts w:hint="eastAsia" w:ascii="宋体" w:hAnsi="宋体"/>
          <w:b/>
          <w:bCs w:val="0"/>
          <w:i w:val="0"/>
          <w:iCs w:val="0"/>
          <w:color w:val="000000"/>
          <w:sz w:val="24"/>
          <w:szCs w:val="24"/>
          <w:highlight w:val="none"/>
          <w:lang w:val="en-US" w:eastAsia="zh-CN"/>
        </w:rPr>
        <w:t xml:space="preserve">采购需求中</w:t>
      </w:r>
      <w:r>
        <w:rPr>
          <w:rFonts w:hint="eastAsia" w:ascii="宋体" w:hAnsi="宋体" w:eastAsia="宋体" w:cs="Times New Roman"/>
          <w:b/>
          <w:bCs w:val="0"/>
          <w:i w:val="0"/>
          <w:iCs w:val="0"/>
          <w:color w:val="000000"/>
          <w:sz w:val="24"/>
          <w:highlight w:val="none"/>
          <w:lang w:val="en-US" w:eastAsia="zh-CN"/>
        </w:rPr>
        <w:t xml:space="preserve">★条款为实质性响应条款，不满足或未响应作废标处理）</w:t>
      </w:r>
      <w:r>
        <w:rPr>
          <w:rFonts w:hint="eastAsia" w:ascii="宋体" w:hAnsi="宋体" w:eastAsia="宋体" w:cs="Times New Roman"/>
          <w:b/>
          <w:bCs w:val="0"/>
          <w:i/>
          <w:iCs/>
          <w:color w:val="000000"/>
          <w:sz w:val="24"/>
          <w:highlight w:val="none"/>
          <w:lang w:val="en-US" w:eastAsia="zh-CN"/>
        </w:rPr>
      </w:r>
      <w:r/>
    </w:p>
    <w:p>
      <w:pPr>
        <w:pStyle w:val="118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b/>
          <w:color w:val="000000"/>
          <w:sz w:val="24"/>
          <w:szCs w:val="24"/>
          <w:highlight w:val="none"/>
        </w:rPr>
        <w:t xml:space="preserve">项目概况</w:t>
      </w:r>
      <w:r>
        <w:rPr>
          <w:rFonts w:ascii="宋体" w:hAnsi="宋体"/>
          <w:b/>
          <w:color w:val="000000"/>
          <w:sz w:val="24"/>
          <w:szCs w:val="24"/>
          <w:highlight w:val="none"/>
        </w:rPr>
      </w:r>
      <w:r/>
    </w:p>
    <w:p>
      <w:pPr>
        <w:pStyle w:val="109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常州市第七人民医院</w:t>
      </w:r>
      <w:r>
        <w:rPr>
          <w:rFonts w:hint="eastAsia" w:ascii="宋体" w:hAnsi="宋体"/>
          <w:bCs/>
          <w:color w:val="000000"/>
          <w:sz w:val="24"/>
          <w:highlight w:val="none"/>
          <w:lang w:eastAsia="zh-CN"/>
        </w:rPr>
        <w:t xml:space="preserve">全院医疗设备全维保服务项目</w:t>
      </w:r>
      <w:r>
        <w:rPr>
          <w:rFonts w:hint="eastAsia" w:ascii="宋体" w:hAnsi="宋体"/>
          <w:bCs/>
          <w:color w:val="000000"/>
          <w:sz w:val="24"/>
          <w:highlight w:val="none"/>
        </w:rPr>
        <w:t xml:space="preserve">，全院医疗器械全生命周期管理，包含但不限于更换或维修（含零配件及非一次性易耗品）、技术安全检查管理、预防性维护保养管理、巡检、设备应急调配、资产盘点、质量控制检测、不良事件管理、配合上级各项检查、设备培训、提供备用机服务、提供设备等医学装备科承担的服务内容，并提供适用于全生命周期管理的应用软件，该软件在项目结束后所有权归医院。</w:t>
      </w:r>
      <w:r>
        <w:rPr>
          <w:rFonts w:ascii="宋体" w:hAnsi="宋体"/>
          <w:bCs/>
          <w:color w:val="000000"/>
          <w:sz w:val="24"/>
          <w:highlight w:val="none"/>
        </w:rPr>
      </w:r>
      <w:r/>
    </w:p>
    <w:p>
      <w:pPr>
        <w:pStyle w:val="1186"/>
        <w:contextualSpacing/>
        <w:ind w:left="-2" w:firstLine="482"/>
        <w:spacing w:line="360" w:lineRule="auto"/>
        <w:tabs>
          <w:tab w:val="left" w:pos="567" w:leader="none"/>
        </w:tabs>
        <w:rPr>
          <w:rFonts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二、</w:t>
      </w:r>
      <w:r>
        <w:rPr>
          <w:rFonts w:hint="eastAsia" w:ascii="宋体" w:hAnsi="宋体"/>
          <w:b/>
          <w:color w:val="000000"/>
          <w:sz w:val="24"/>
          <w:szCs w:val="24"/>
          <w:highlight w:val="none"/>
          <w:lang w:val="en-US" w:eastAsia="zh-CN"/>
        </w:rPr>
        <w:t xml:space="preserve">服务</w:t>
      </w:r>
      <w:r>
        <w:rPr>
          <w:rFonts w:hint="eastAsia" w:ascii="宋体" w:hAnsi="宋体"/>
          <w:b/>
          <w:color w:val="000000"/>
          <w:sz w:val="24"/>
          <w:szCs w:val="24"/>
          <w:highlight w:val="none"/>
          <w:lang w:val="en-US" w:eastAsia="zh-CN"/>
        </w:rPr>
        <w:t xml:space="preserve">内容</w:t>
      </w:r>
      <w:r>
        <w:rPr>
          <w:rFonts w:ascii="宋体" w:hAnsi="宋体" w:eastAsia="宋体"/>
          <w:b/>
          <w:color w:val="000000"/>
          <w:sz w:val="24"/>
          <w:szCs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1.项目服务内容：依据国家相应法律法规和</w:t>
      </w:r>
      <w:r>
        <w:rPr>
          <w:rFonts w:hint="eastAsia" w:ascii="宋体" w:hAnsi="宋体" w:eastAsia="宋体" w:cs="Times New Roman"/>
          <w:bCs/>
          <w:color w:val="000000"/>
          <w:sz w:val="24"/>
          <w:highlight w:val="none"/>
          <w:lang w:val="en-US" w:eastAsia="zh-CN"/>
        </w:rPr>
        <w:t xml:space="preserve">江苏省</w:t>
      </w:r>
      <w:r>
        <w:rPr>
          <w:rFonts w:hint="eastAsia" w:ascii="宋体" w:hAnsi="宋体" w:eastAsia="宋体" w:cs="Times New Roman"/>
          <w:bCs/>
          <w:color w:val="000000"/>
          <w:sz w:val="24"/>
          <w:highlight w:val="none"/>
        </w:rPr>
        <w:t xml:space="preserve">医疗设备器械管理专业质控标准等行业要求，对采购方在用的全部医疗设备进行打包服务，服务内容包含：故障维修、设备定期巡检和维护保养、协助计量检定校准、协助安装验收、配合设备质控检查等日常管理。</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2.项目</w:t>
      </w:r>
      <w:r>
        <w:rPr>
          <w:rFonts w:hint="eastAsia" w:ascii="宋体" w:hAnsi="宋体" w:eastAsia="宋体" w:cs="Times New Roman"/>
          <w:bCs/>
          <w:color w:val="000000"/>
          <w:sz w:val="24"/>
          <w:highlight w:val="none"/>
          <w:lang w:val="en-US" w:eastAsia="zh-CN"/>
        </w:rPr>
        <w:t xml:space="preserve">服务</w:t>
      </w:r>
      <w:r>
        <w:rPr>
          <w:rFonts w:hint="eastAsia" w:ascii="宋体" w:hAnsi="宋体" w:eastAsia="宋体" w:cs="Times New Roman"/>
          <w:bCs/>
          <w:color w:val="000000"/>
          <w:sz w:val="24"/>
          <w:highlight w:val="none"/>
        </w:rPr>
        <w:t xml:space="preserve">设备：</w:t>
      </w:r>
      <w:r>
        <w:rPr>
          <w:rFonts w:hint="eastAsia" w:ascii="宋体" w:hAnsi="宋体" w:eastAsia="宋体" w:cs="Times New Roman"/>
          <w:bCs/>
          <w:color w:val="000000"/>
          <w:sz w:val="24"/>
          <w:highlight w:val="none"/>
          <w:lang w:val="en-US" w:eastAsia="zh-CN"/>
        </w:rPr>
        <w:t xml:space="preserve">全院具有医疗器械注册证的非一次性医疗器械，包括但不仅限于固定资产医疗设备清单上的设备（西门子CT除外），</w:t>
      </w:r>
      <w:r>
        <w:rPr>
          <w:rFonts w:hint="eastAsia" w:ascii="宋体" w:hAnsi="宋体" w:eastAsia="宋体" w:cs="Times New Roman"/>
          <w:bCs/>
          <w:color w:val="000000"/>
          <w:sz w:val="24"/>
          <w:highlight w:val="none"/>
        </w:rPr>
        <w:t xml:space="preserve">主要设备包括：1.5T 1 台，CT </w:t>
      </w:r>
      <w:r>
        <w:rPr>
          <w:rFonts w:hint="eastAsia" w:ascii="宋体" w:hAnsi="宋体" w:eastAsia="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 台，DSA </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台， DR 等普放 </w:t>
      </w:r>
      <w:r>
        <w:rPr>
          <w:rFonts w:hint="eastAsia" w:ascii="宋体" w:hAnsi="宋体" w:eastAsia="宋体" w:cs="Times New Roman"/>
          <w:bCs/>
          <w:color w:val="000000"/>
          <w:sz w:val="24"/>
          <w:highlight w:val="none"/>
          <w:lang w:val="en-US" w:eastAsia="zh-CN"/>
        </w:rPr>
        <w:t xml:space="preserve">9</w:t>
      </w:r>
      <w:r>
        <w:rPr>
          <w:rFonts w:hint="eastAsia" w:ascii="宋体" w:hAnsi="宋体" w:eastAsia="宋体" w:cs="Times New Roman"/>
          <w:bCs/>
          <w:color w:val="000000"/>
          <w:sz w:val="24"/>
          <w:highlight w:val="none"/>
        </w:rPr>
        <w:t xml:space="preserve"> 台</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彩超、电子内镜</w:t>
      </w:r>
      <w:r>
        <w:rPr>
          <w:rFonts w:hint="eastAsia" w:ascii="宋体" w:hAnsi="宋体" w:eastAsia="宋体" w:cs="Times New Roman"/>
          <w:bCs/>
          <w:color w:val="000000"/>
          <w:sz w:val="24"/>
          <w:highlight w:val="none"/>
        </w:rPr>
        <w:t xml:space="preserve">等。</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3.设备维保范围：维保设备清单内设备维修维护全保（整机、附件、随机软件等），包括所有的人工费、差旅费，零部件、易损件（非一次性耗材）等免费更换。零部件、易损件具体要求见</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三、</w:t>
      </w:r>
      <w:r>
        <w:rPr>
          <w:rFonts w:hint="eastAsia" w:ascii="宋体" w:hAnsi="宋体" w:eastAsia="宋体" w:cs="Times New Roman"/>
          <w:b/>
          <w:bCs w:val="0"/>
          <w:color w:val="000000"/>
          <w:sz w:val="24"/>
          <w:highlight w:val="none"/>
        </w:rPr>
        <w:t xml:space="preserve">设备维保服务要求</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
          <w:bCs w:val="0"/>
          <w:color w:val="000000"/>
          <w:sz w:val="24"/>
          <w:highlight w:val="none"/>
        </w:rPr>
        <w:t xml:space="preserve">第（</w:t>
      </w:r>
      <w:r>
        <w:rPr>
          <w:rFonts w:hint="eastAsia" w:ascii="宋体" w:hAnsi="宋体" w:eastAsia="宋体" w:cs="Times New Roman"/>
          <w:b/>
          <w:bCs w:val="0"/>
          <w:color w:val="000000"/>
          <w:sz w:val="24"/>
          <w:highlight w:val="none"/>
          <w:lang w:val="en-US" w:eastAsia="zh-CN"/>
        </w:rPr>
        <w:t xml:space="preserve">六</w:t>
      </w:r>
      <w:r>
        <w:rPr>
          <w:rFonts w:hint="eastAsia" w:ascii="宋体" w:hAnsi="宋体" w:eastAsia="宋体" w:cs="Times New Roman"/>
          <w:b/>
          <w:bCs w:val="0"/>
          <w:color w:val="000000"/>
          <w:sz w:val="24"/>
          <w:highlight w:val="none"/>
        </w:rPr>
        <w:t xml:space="preserve">）条</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服务费用划分：</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4.1</w:t>
      </w:r>
      <w:r>
        <w:rPr>
          <w:rFonts w:hint="eastAsia" w:ascii="宋体" w:hAnsi="宋体" w:eastAsia="宋体" w:cs="Times New Roman"/>
          <w:bCs/>
          <w:color w:val="000000"/>
          <w:sz w:val="24"/>
          <w:highlight w:val="none"/>
        </w:rPr>
        <w:t xml:space="preserve">设备淘汰、替换标准：新购设备免费质保期满后纳入本项目维保单位维保范围，原有设备达到报废年限</w:t>
      </w:r>
      <w:r>
        <w:rPr>
          <w:rFonts w:hint="eastAsia" w:ascii="宋体" w:hAnsi="宋体" w:eastAsia="宋体" w:cs="Times New Roman"/>
          <w:bCs/>
          <w:color w:val="000000"/>
          <w:sz w:val="24"/>
          <w:highlight w:val="none"/>
          <w:lang w:val="en-US" w:eastAsia="zh-CN"/>
        </w:rPr>
        <w:t xml:space="preserve">且</w:t>
      </w:r>
      <w:r>
        <w:rPr>
          <w:rFonts w:hint="eastAsia" w:ascii="宋体" w:hAnsi="宋体" w:eastAsia="宋体" w:cs="Times New Roman"/>
          <w:bCs/>
          <w:color w:val="000000"/>
          <w:sz w:val="24"/>
          <w:highlight w:val="none"/>
        </w:rPr>
        <w:t xml:space="preserve">经院方确认无法修复的纳入淘汰范围。维保单位负责维修更换的零配件及相关废弃物的免费处置工作。</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4.2</w:t>
      </w:r>
      <w:r>
        <w:rPr>
          <w:rFonts w:hint="eastAsia" w:ascii="宋体" w:hAnsi="宋体" w:eastAsia="宋体" w:cs="Times New Roman"/>
          <w:bCs/>
          <w:color w:val="000000"/>
          <w:sz w:val="24"/>
          <w:highlight w:val="none"/>
        </w:rPr>
        <w:t xml:space="preserve">院方提供必要的管理用房及相关的用水用电，但不负责场地建设和装修。</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5.维保设备清单</w:t>
      </w:r>
      <w:r>
        <w:rPr>
          <w:rFonts w:hint="eastAsia" w:ascii="宋体" w:hAnsi="宋体" w:eastAsia="宋体" w:cs="Times New Roman"/>
          <w:bCs/>
          <w:color w:val="000000"/>
          <w:sz w:val="24"/>
          <w:highlight w:val="none"/>
          <w:lang w:val="en-US" w:eastAsia="zh-CN"/>
        </w:rPr>
      </w:r>
      <w:r/>
    </w:p>
    <w:tbl>
      <w:tblPr>
        <w:tblW w:w="919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4695"/>
        <w:gridCol w:w="1847"/>
        <w:gridCol w:w="1847"/>
      </w:tblGrid>
      <w:tr>
        <w:trPr>
          <w:trHeight w:val="285"/>
        </w:trPr>
        <w:tc>
          <w:tcPr>
            <w:tcW w:w="804" w:type="dxa"/>
            <w:vAlign w:val="center"/>
            <w:textDirection w:val="lrTb"/>
            <w:noWrap w:val="false"/>
          </w:tcPr>
          <w:p>
            <w:pPr>
              <w:pStyle w:val="1092"/>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设备名称</w:t>
            </w:r>
            <w:r>
              <w:rPr>
                <w:rFonts w:hint="eastAsia" w:ascii="仿宋" w:hAnsi="仿宋" w:eastAsia="仿宋" w:cs="仿宋"/>
                <w:b/>
                <w:bCs/>
                <w:i w:val="0"/>
                <w:iCs w:val="0"/>
                <w:color w:val="000000"/>
                <w:sz w:val="24"/>
                <w:szCs w:val="24"/>
                <w:u w:val="none"/>
              </w:rPr>
            </w:r>
            <w:r/>
          </w:p>
        </w:tc>
        <w:tc>
          <w:tcPr>
            <w:tcW w:w="1847" w:type="dxa"/>
            <w:vAlign w:val="top"/>
            <w:textDirection w:val="lrTb"/>
            <w:noWrap w:val="false"/>
          </w:tcPr>
          <w:p>
            <w:pPr>
              <w:pStyle w:val="1092"/>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数量</w:t>
            </w:r>
            <w:r>
              <w:rPr>
                <w:rFonts w:hint="eastAsia" w:ascii="仿宋" w:hAnsi="仿宋" w:eastAsia="仿宋" w:cs="仿宋"/>
                <w:i w:val="0"/>
                <w:iCs w:val="0"/>
                <w:color w:val="000000"/>
                <w:sz w:val="24"/>
                <w:szCs w:val="24"/>
                <w:u w:val="none"/>
              </w:rPr>
            </w:r>
            <w:r/>
          </w:p>
        </w:tc>
        <w:tc>
          <w:tcPr>
            <w:tcW w:w="1847" w:type="dxa"/>
            <w:vAlign w:val="top"/>
            <w:textDirection w:val="lrTb"/>
            <w:noWrap w:val="false"/>
          </w:tcPr>
          <w:p>
            <w:pPr>
              <w:pStyle w:val="1092"/>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备注</w:t>
            </w:r>
            <w:r>
              <w:rPr>
                <w:rFonts w:ascii="仿宋" w:hAnsi="仿宋" w:eastAsia="仿宋" w:cs="仿宋"/>
                <w:i w:val="0"/>
                <w:iCs w:val="0"/>
                <w:color w:val="000000"/>
                <w:sz w:val="24"/>
                <w:szCs w:val="24"/>
                <w:u w:val="none"/>
                <w:lang w:val="en-US" w:eastAsia="zh-CN" w:bidi="ar"/>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全自动摆药机售后服务费</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1项</w:t>
            </w:r>
            <w:r>
              <w:rPr>
                <w:rFonts w:ascii="仿宋" w:hAnsi="仿宋" w:eastAsia="仿宋" w:cs="仿宋"/>
                <w:i w:val="0"/>
                <w:iCs w:val="0"/>
                <w:color w:val="000000"/>
                <w:sz w:val="24"/>
                <w:szCs w:val="24"/>
                <w:u w:val="none"/>
                <w:lang w:val="en-US" w:eastAsia="zh-CN"/>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飞利浦BVC臂机</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1套</w:t>
            </w:r>
            <w:r>
              <w:rPr>
                <w:rFonts w:ascii="仿宋" w:hAnsi="仿宋" w:eastAsia="仿宋" w:cs="仿宋"/>
                <w:i w:val="0"/>
                <w:iCs w:val="0"/>
                <w:color w:val="000000"/>
                <w:sz w:val="24"/>
                <w:szCs w:val="24"/>
                <w:u w:val="none"/>
                <w:lang w:val="en-US" w:eastAsia="zh-CN"/>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DSA/Allura Xper FD20</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磁共振/Multiva 1.5T 16 R5</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5</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联影CT</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GE64排CT</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联影/uCT528</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780"/>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奥林巴斯胃肠镜及胆道镜：</w:t>
            </w:r>
            <w:r>
              <w:rPr>
                <w:rFonts w:hint="eastAsia" w:ascii="仿宋" w:hAnsi="仿宋" w:eastAsia="仿宋" w:cs="仿宋"/>
                <w:i w:val="0"/>
                <w:iCs w:val="0"/>
                <w:color w:val="000000"/>
                <w:sz w:val="24"/>
                <w:szCs w:val="24"/>
                <w:u w:val="none"/>
                <w:lang w:val="en-US" w:eastAsia="zh-CN" w:bidi="ar"/>
              </w:rPr>
              <w:br w:type="textWrapping" w:clear="all"/>
            </w:r>
            <w:r>
              <w:rPr>
                <w:rStyle w:val="1346"/>
                <w:lang w:val="en-US" w:eastAsia="zh-CN" w:bidi="ar"/>
              </w:rPr>
              <w:t xml:space="preserve">CHF TYPE V:电子胆道镜</w:t>
            </w:r>
            <w:r>
              <w:rPr>
                <w:rStyle w:val="1346"/>
                <w:lang w:val="en-US" w:eastAsia="zh-CN" w:bidi="ar"/>
              </w:rPr>
              <w:br w:type="textWrapping" w:clear="all"/>
            </w:r>
            <w:r>
              <w:rPr>
                <w:rStyle w:val="1346"/>
                <w:lang w:val="en-US" w:eastAsia="zh-CN" w:bidi="ar"/>
              </w:rPr>
              <w:t xml:space="preserve">GIF-HQ290:电子上消化道内窥镜</w:t>
            </w:r>
            <w:r>
              <w:rPr>
                <w:rStyle w:val="1346"/>
                <w:lang w:val="en-US" w:eastAsia="zh-CN" w:bidi="ar"/>
              </w:rPr>
              <w:br w:type="textWrapping" w:clear="all"/>
            </w:r>
            <w:r>
              <w:rPr>
                <w:rStyle w:val="1346"/>
                <w:lang w:val="en-US" w:eastAsia="zh-CN" w:bidi="ar"/>
              </w:rPr>
              <w:t xml:space="preserve">CF-H290I:电子结肠内窥镜</w:t>
            </w:r>
            <w:r>
              <w:rPr>
                <w:rStyle w:val="1346"/>
                <w:lang w:val="en-US" w:eastAsia="zh-CN" w:bidi="ar"/>
              </w:rPr>
              <w:br w:type="textWrapping" w:clear="all"/>
            </w:r>
            <w:r>
              <w:rPr>
                <w:rStyle w:val="1346"/>
                <w:lang w:val="en-US" w:eastAsia="zh-CN" w:bidi="ar"/>
              </w:rPr>
              <w:t xml:space="preserve">GIF TYPE H260Z:电子上消化道内窥镜</w:t>
            </w:r>
            <w:r>
              <w:rPr>
                <w:rStyle w:val="1346"/>
                <w:lang w:val="en-US" w:eastAsia="zh-CN" w:bidi="ar"/>
              </w:rPr>
              <w:br w:type="textWrapping" w:clear="all"/>
            </w:r>
            <w:r>
              <w:rPr>
                <w:rStyle w:val="1346"/>
                <w:lang w:val="en-US" w:eastAsia="zh-CN" w:bidi="ar"/>
              </w:rPr>
              <w:t xml:space="preserve">ENF-VT2：电子鼻咽喉镜</w:t>
            </w:r>
            <w:r>
              <w:rPr>
                <w:rStyle w:val="1346"/>
                <w:lang w:val="en-US" w:eastAsia="zh-CN" w:bidi="ar"/>
              </w:rPr>
              <w:br w:type="textWrapping" w:clear="all"/>
            </w:r>
            <w:r>
              <w:rPr>
                <w:rStyle w:val="1346"/>
                <w:lang w:val="en-US" w:eastAsia="zh-CN" w:bidi="ar"/>
              </w:rPr>
              <w:t xml:space="preserve">ENF-VT2：电子鼻咽喉镜</w:t>
            </w:r>
            <w:r>
              <w:rPr>
                <w:rStyle w:val="1346"/>
                <w:lang w:val="en-US" w:eastAsia="zh-CN" w:bidi="ar"/>
              </w:rPr>
              <w:br w:type="textWrapping" w:clear="all"/>
            </w:r>
            <w:r>
              <w:rPr>
                <w:rStyle w:val="1346"/>
                <w:lang w:val="en-US" w:eastAsia="zh-CN" w:bidi="ar"/>
              </w:rPr>
              <w:t xml:space="preserve">CLV-290SL:内窥镜冷光源</w:t>
            </w:r>
            <w:r>
              <w:rPr>
                <w:rStyle w:val="1346"/>
                <w:lang w:val="en-US" w:eastAsia="zh-CN" w:bidi="ar"/>
              </w:rPr>
              <w:br w:type="textWrapping" w:clear="all"/>
            </w:r>
            <w:r>
              <w:rPr>
                <w:rStyle w:val="1346"/>
                <w:lang w:val="en-US" w:eastAsia="zh-CN" w:bidi="ar"/>
              </w:rPr>
              <w:t xml:space="preserve">CV-290:图像处理装置</w:t>
            </w:r>
            <w:r>
              <w:rPr>
                <w:rStyle w:val="1346"/>
                <w:lang w:val="en-US" w:eastAsia="zh-CN" w:bidi="ar"/>
              </w:rPr>
              <w:br w:type="textWrapping" w:clear="all"/>
            </w:r>
            <w:r>
              <w:rPr>
                <w:rStyle w:val="1346"/>
                <w:lang w:val="en-US" w:eastAsia="zh-CN" w:bidi="ar"/>
              </w:rPr>
              <w:t xml:space="preserve">富士内镜：</w:t>
            </w:r>
            <w:r>
              <w:rPr>
                <w:rStyle w:val="1346"/>
                <w:lang w:val="en-US" w:eastAsia="zh-CN" w:bidi="ar"/>
              </w:rPr>
              <w:br w:type="textWrapping" w:clear="all"/>
            </w:r>
            <w:r>
              <w:rPr>
                <w:rStyle w:val="1346"/>
                <w:lang w:val="en-US" w:eastAsia="zh-CN" w:bidi="ar"/>
              </w:rPr>
              <w:t xml:space="preserve">主机（VP-7000）</w:t>
            </w:r>
            <w:r>
              <w:rPr>
                <w:rStyle w:val="1346"/>
                <w:lang w:val="en-US" w:eastAsia="zh-CN" w:bidi="ar"/>
              </w:rPr>
              <w:br w:type="textWrapping" w:clear="all"/>
            </w:r>
            <w:r>
              <w:rPr>
                <w:rStyle w:val="1346"/>
                <w:lang w:val="en-US" w:eastAsia="zh-CN" w:bidi="ar"/>
              </w:rPr>
              <w:t xml:space="preserve">光源（BL-7000）</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内镜（EG-760R-V/M）</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1410"/>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9</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富士内镜：</w:t>
            </w:r>
            <w:r>
              <w:rPr>
                <w:rFonts w:hint="eastAsia" w:ascii="仿宋" w:hAnsi="仿宋" w:eastAsia="仿宋" w:cs="仿宋"/>
                <w:i w:val="0"/>
                <w:iCs w:val="0"/>
                <w:color w:val="000000"/>
                <w:sz w:val="24"/>
                <w:szCs w:val="24"/>
                <w:u w:val="none"/>
                <w:lang w:val="en-US" w:eastAsia="zh-CN" w:bidi="ar"/>
              </w:rPr>
              <w:br w:type="textWrapping" w:clear="all"/>
            </w:r>
            <w:r>
              <w:rPr>
                <w:rStyle w:val="1346"/>
                <w:lang w:val="en-US" w:eastAsia="zh-CN" w:bidi="ar"/>
              </w:rPr>
              <w:t xml:space="preserve">主机（VP-7000）</w:t>
            </w:r>
            <w:r>
              <w:rPr>
                <w:rStyle w:val="1346"/>
                <w:lang w:val="en-US" w:eastAsia="zh-CN" w:bidi="ar"/>
              </w:rPr>
              <w:br w:type="textWrapping" w:clear="all"/>
            </w:r>
            <w:r>
              <w:rPr>
                <w:rStyle w:val="1346"/>
                <w:lang w:val="en-US" w:eastAsia="zh-CN" w:bidi="ar"/>
              </w:rPr>
              <w:t xml:space="preserve">光源（BL-7000）</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内镜（EG-760R-V/M）</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电子上消化道内窥镜（放大）日本富士EG-760Z</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570"/>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电子上消化道内窥镜（治疗）日本富士EG-760CT</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电子结肠镜（富士EC-760R-V/M）</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VOLUSON E10彩超（GE）</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14</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VOLUSON S6彩超（GE）</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15</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VOLUSON S6彩超(GE)</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16</w:t>
            </w:r>
            <w:r>
              <w:rPr>
                <w:rFonts w:hint="eastAsia" w:ascii="仿宋" w:hAnsi="仿宋" w:eastAsia="仿宋" w:cs="仿宋"/>
                <w:b/>
                <w:bCs/>
                <w:i w:val="0"/>
                <w:iCs w:val="0"/>
                <w:color w:val="000000"/>
                <w:sz w:val="24"/>
                <w:szCs w:val="24"/>
                <w:u w:val="none"/>
              </w:rPr>
            </w:r>
            <w:r/>
          </w:p>
        </w:tc>
        <w:tc>
          <w:tcPr>
            <w:tcW w:w="4695" w:type="dxa"/>
            <w:vAlign w:val="center"/>
            <w:textDirection w:val="lrTb"/>
            <w:noWrap/>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IU22彩超（飞利浦）</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17</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CV580彩超（飞利浦）</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18</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CV580彩超（飞利浦）</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19</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EPIQ 7C彩超（飞利浦）</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Affiniti 70（飞利浦）</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570"/>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21</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GE台式彩超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（Versana balance s）</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570"/>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22</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GE便携式彩超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（Versana active）</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23</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GE心脏彩超（Vivid iq）</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24</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低温等离子体灭菌器（强生STERRAD 100S）</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25</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联影DR（急诊）</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26</w:t>
            </w:r>
            <w:r>
              <w:rPr>
                <w:rFonts w:hint="eastAsia" w:ascii="仿宋" w:hAnsi="仿宋" w:eastAsia="仿宋" w:cs="仿宋"/>
                <w:b/>
                <w:bCs/>
                <w:i w:val="0"/>
                <w:iCs w:val="0"/>
                <w:color w:val="000000"/>
                <w:sz w:val="24"/>
                <w:szCs w:val="24"/>
                <w:u w:val="none"/>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联影DR（门诊）</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1套</w:t>
            </w:r>
            <w:r>
              <w:rPr>
                <w:rFonts w:hint="eastAsia" w:ascii="仿宋" w:hAnsi="仿宋" w:eastAsia="仿宋" w:cs="仿宋"/>
                <w:i w:val="0"/>
                <w:iCs w:val="0"/>
                <w:color w:val="000000"/>
                <w:sz w:val="24"/>
                <w:szCs w:val="24"/>
                <w:u w:val="none"/>
              </w:rPr>
            </w:r>
            <w:r/>
          </w:p>
        </w:tc>
        <w:tc>
          <w:tcPr>
            <w:tcW w:w="1847" w:type="dxa"/>
            <w:vAlign w:val="center"/>
            <w:textDirection w:val="lrTb"/>
            <w:noWrap w:val="false"/>
          </w:tcPr>
          <w:p>
            <w:pPr>
              <w:pStyle w:val="1092"/>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804" w:type="dxa"/>
            <w:vAlign w:val="center"/>
            <w:textDirection w:val="lrTb"/>
            <w:noWrap w:val="false"/>
          </w:tcPr>
          <w:p>
            <w:pPr>
              <w:pStyle w:val="1092"/>
              <w:jc w:val="center"/>
              <w:keepLines w:val="0"/>
              <w:keepNext w:val="0"/>
              <w:widowControl/>
              <w:rPr>
                <w:rFonts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27</w:t>
            </w:r>
            <w:r>
              <w:rPr>
                <w:rFonts w:ascii="仿宋" w:hAnsi="仿宋" w:eastAsia="仿宋" w:cs="仿宋"/>
                <w:b/>
                <w:bCs/>
                <w:i w:val="0"/>
                <w:iCs w:val="0"/>
                <w:color w:val="000000"/>
                <w:sz w:val="24"/>
                <w:szCs w:val="24"/>
                <w:u w:val="none"/>
                <w:lang w:val="en-US" w:eastAsia="zh-CN" w:bidi="ar"/>
              </w:rPr>
            </w:r>
            <w:r/>
          </w:p>
        </w:tc>
        <w:tc>
          <w:tcPr>
            <w:tcW w:w="4695" w:type="dxa"/>
            <w:vAlign w:val="center"/>
            <w:textDirection w:val="lrTb"/>
            <w:noWrap w:val="false"/>
          </w:tcPr>
          <w:p>
            <w:pPr>
              <w:pStyle w:val="1092"/>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其他设备</w:t>
            </w:r>
            <w:r>
              <w:rPr>
                <w:rFonts w:hint="eastAsia" w:ascii="仿宋" w:hAnsi="仿宋" w:eastAsia="仿宋" w:cs="仿宋"/>
                <w:i w:val="0"/>
                <w:iCs w:val="0"/>
                <w:color w:val="000000"/>
                <w:sz w:val="24"/>
                <w:szCs w:val="24"/>
                <w:u w:val="none"/>
                <w:lang w:val="en-US" w:eastAsia="zh-CN" w:bidi="ar"/>
              </w:rPr>
            </w:r>
            <w:r/>
          </w:p>
        </w:tc>
        <w:tc>
          <w:tcPr>
            <w:tcW w:w="1847" w:type="dxa"/>
            <w:vAlign w:val="center"/>
            <w:textDirection w:val="lrTb"/>
            <w:noWrap w:val="false"/>
          </w:tcPr>
          <w:p>
            <w:pPr>
              <w:pStyle w:val="1092"/>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1批</w:t>
            </w:r>
            <w:r>
              <w:rPr>
                <w:rFonts w:ascii="仿宋" w:hAnsi="仿宋" w:eastAsia="仿宋" w:cs="仿宋"/>
                <w:i w:val="0"/>
                <w:iCs w:val="0"/>
                <w:color w:val="000000"/>
                <w:sz w:val="24"/>
                <w:szCs w:val="24"/>
                <w:u w:val="none"/>
                <w:lang w:val="en-US" w:eastAsia="zh-CN"/>
              </w:rPr>
            </w:r>
            <w:r/>
          </w:p>
        </w:tc>
        <w:tc>
          <w:tcPr>
            <w:tcW w:w="1847" w:type="dxa"/>
            <w:vAlign w:val="center"/>
            <w:textDirection w:val="lrTb"/>
            <w:noWrap w:val="false"/>
          </w:tcPr>
          <w:p>
            <w:pPr>
              <w:pStyle w:val="1092"/>
              <w:jc w:val="both"/>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包含全院</w:t>
            </w:r>
            <w:r>
              <w:rPr>
                <w:rFonts w:hint="eastAsia" w:ascii="仿宋" w:hAnsi="仿宋" w:eastAsia="仿宋" w:cs="仿宋"/>
                <w:i w:val="0"/>
                <w:iCs w:val="0"/>
                <w:color w:val="000000"/>
                <w:sz w:val="24"/>
                <w:szCs w:val="24"/>
                <w:u w:val="none"/>
              </w:rPr>
              <w:t xml:space="preserve">影像诊断设备类、检验化验设备类、急救设备类、手术室设备类、康复理疗物理治疗类、消毒灭菌及供应室设备类、病房护理及普通医用设备类、专科专用设备、制冷恒温及医用辅助设备</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lang w:val="en-US" w:eastAsia="zh-CN"/>
              </w:rPr>
              <w:t xml:space="preserve">不含上述1-26项清单设备</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lang w:val="en-US" w:eastAsia="zh-CN"/>
              </w:rPr>
              <w:t xml:space="preserve">约2000余项</w:t>
            </w:r>
            <w:r>
              <w:rPr>
                <w:rFonts w:ascii="仿宋" w:hAnsi="仿宋" w:eastAsia="仿宋" w:cs="仿宋"/>
                <w:i w:val="0"/>
                <w:iCs w:val="0"/>
                <w:color w:val="000000"/>
                <w:sz w:val="24"/>
                <w:szCs w:val="24"/>
                <w:u w:val="none"/>
                <w:lang w:val="en-US" w:eastAsia="zh-CN"/>
              </w:rPr>
            </w:r>
            <w:r/>
          </w:p>
        </w:tc>
      </w:tr>
    </w:tbl>
    <w:p>
      <w:pPr>
        <w:pStyle w:val="1186"/>
        <w:contextualSpacing/>
        <w:ind w:left="-2" w:firstLine="482"/>
        <w:spacing w:line="360" w:lineRule="auto"/>
        <w:tabs>
          <w:tab w:val="left" w:pos="567" w:leader="none"/>
        </w:tabs>
        <w:rPr>
          <w:rFonts w:ascii="宋体" w:hAnsi="宋体" w:eastAsia="宋体" w:cs="Times New Roman"/>
          <w:b/>
          <w:color w:val="000000"/>
          <w:sz w:val="24"/>
          <w:szCs w:val="24"/>
          <w:highlight w:val="none"/>
          <w:lang w:val="en-US"/>
        </w:rPr>
      </w:pPr>
      <w:r>
        <w:rPr>
          <w:rFonts w:hint="eastAsia" w:ascii="宋体" w:hAnsi="宋体" w:eastAsia="宋体" w:cs="Times New Roman"/>
          <w:b/>
          <w:color w:val="000000"/>
          <w:sz w:val="24"/>
          <w:szCs w:val="24"/>
          <w:highlight w:val="none"/>
          <w:lang w:val="en-US" w:eastAsia="zh-CN"/>
        </w:rPr>
        <w:t xml:space="preserve">三</w:t>
      </w:r>
      <w:r>
        <w:rPr>
          <w:rFonts w:hint="eastAsia" w:ascii="宋体" w:hAnsi="宋体" w:eastAsia="宋体" w:cs="Times New Roman"/>
          <w:b/>
          <w:color w:val="000000"/>
          <w:sz w:val="24"/>
          <w:szCs w:val="24"/>
          <w:highlight w:val="none"/>
        </w:rPr>
        <w:t xml:space="preserve">、设备维保服务要求</w:t>
      </w:r>
      <w:r>
        <w:rPr>
          <w:rFonts w:ascii="宋体" w:hAnsi="宋体" w:eastAsia="宋体" w:cs="Times New Roman"/>
          <w:b/>
          <w:color w:val="000000"/>
          <w:sz w:val="24"/>
          <w:szCs w:val="24"/>
          <w:highlight w:val="none"/>
          <w:lang w:val="en-US"/>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(一)维修依据及标准</w:t>
      </w:r>
      <w:r>
        <w:rPr>
          <w:rFonts w:hint="eastAsia" w:ascii="宋体" w:hAnsi="宋体" w:eastAsia="宋体" w:cs="Times New Roman"/>
          <w:bCs/>
          <w:color w:val="000000"/>
          <w:sz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投标单位在开展医疗设备维保服务工作中，须依据现行有效的中华人民共和国《医疗器械监督管理条例》《中华人民共和国计量法》《中华人民共和国法定计量单位》中华人民共和国《放射性同位素与射线装置安全和防护条例》《医疗卫生机构医学装备管理办法》《医用电气设备要求》等法律及规范和相关条款要求进行。</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(二)维修响应要求：</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1、要求投标单位服务工程师20分钟内响应并赶到现场，非工作时间 1 小时内响应到场。服务时间：工作日7:40-11:30,13:30-17:00，其余时间段为备班制。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2、要求投标单位必须提供365天×24小时不间断服务。</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3、如有支援需求，投标单位专业技术工程师8小时内赶到现场。</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4、维修期限：一般维修(无需更换配件)48小时内完成，中型维修(需更换国内有的配件)72小时内完成，大型维修(需更换国外零配件)7天内完成。如果故障7天内未完成维修，院方可以聘请设备厂家上门维修或直接返厂维修，维修费用在维保单位服务费中扣除。</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5、同一设备连续维修3次后仍然出现相同故障或无法达到院方使用要求，院方可以直接聘请设备厂家进行维修，维修费用在维保单位服务费中扣除。未按期恢复正常使用的，超期一天作相应处罚。</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6、投标单位应提供维修期间的备品备件供院方使用。对于设备需要更换易损易耗备品备件的，投标单位应有库存，如超过5个工作日仍未更换，院方可以自行购买，费用在维保单位服务费中扣除。</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(三)维保范围内的设备完好率要求</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1、维保范围内的生命急救支持类设备</w:t>
      </w:r>
      <w:r>
        <w:rPr>
          <w:rFonts w:hint="eastAsia" w:ascii="宋体" w:hAnsi="宋体" w:eastAsia="宋体" w:cs="Times New Roman"/>
          <w:b/>
          <w:bCs w:val="0"/>
          <w:i/>
          <w:iCs/>
          <w:color w:val="000000"/>
          <w:sz w:val="24"/>
          <w:highlight w:val="none"/>
          <w:lang w:val="en-US" w:eastAsia="zh-CN"/>
        </w:rPr>
        <w:t xml:space="preserve">(指用于生命急救支持岗位的生命急救支持类设备)</w:t>
      </w:r>
      <w:r>
        <w:rPr>
          <w:rFonts w:hint="eastAsia" w:ascii="宋体" w:hAnsi="宋体" w:eastAsia="宋体" w:cs="Times New Roman"/>
          <w:b/>
          <w:bCs w:val="0"/>
          <w:i/>
          <w:iCs/>
          <w:color w:val="000000"/>
          <w:sz w:val="24"/>
          <w:highlight w:val="none"/>
          <w:lang w:val="en-US" w:eastAsia="zh-CN"/>
        </w:rPr>
        <w:t xml:space="preserve">完好率100%。</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2、维保范围内的除生命急救支持类设备以外所有设备完好率控制在95%以上。</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(四)维保范围内的医疗设备质控及检测要求</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1、维保单位需提供质控设备及相关人员为医院提供维修后的质控服务以及根据江苏省医疗设备器械管理专业医疗质量控制要求，开展质控检测与校准工作。</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2、维保范围内的医疗设备，凡是在国家强检的计量及质量检测范围内的，投标单位须协助国家检测部门进行检测，强检计量及质量检测按标准检测合格则由采购人承担检测费用（另有约定除外），强检计量及质量检测未合格的设备，则投标单位按照相应标准对医疗设备进行维护调试直至达到国家要求的标准，检测费用由投标单位承担。</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3、维保单位需委托有资质的单位对采购人的血气分析仪、脑电图、肌电图、眼压计、听力计、声阻抗、麻醉机、MRI、DSA设备进行计量检测，检测费用由投标单位承担。</w:t>
      </w:r>
      <w:r>
        <w:rPr>
          <w:rFonts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(五)巡检保养和设备维保要求</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巡检保养：对维保范围的设备，生命支持类的设备按要求每个月完成100%覆盖巡检一次；其他设备每6个月完成100%覆盖率巡检保养一次，对不符合设备正常运行或有可能造成医疗安全隐患的设备，出具书面的解决方案，并提交给医院设备管理部门备案，所有数据需采集至设备管理系统；</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★2、预防性维护：对维保范围内的设备，要求每3个月完成100%覆盖率的预防性维护一次。</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宋体"/>
          <w:b/>
          <w:bCs w:val="0"/>
          <w:i/>
          <w:iCs/>
          <w:sz w:val="24"/>
          <w:szCs w:val="24"/>
        </w:rPr>
      </w:pPr>
      <w:r>
        <w:rPr>
          <w:rFonts w:hint="eastAsia" w:ascii="宋体" w:hAnsi="宋体" w:eastAsia="宋体" w:cs="Times New Roman"/>
          <w:b/>
          <w:bCs w:val="0"/>
          <w:i/>
          <w:iCs/>
          <w:color w:val="000000"/>
          <w:sz w:val="24"/>
          <w:highlight w:val="none"/>
          <w:lang w:val="en-US" w:eastAsia="zh-CN"/>
        </w:rPr>
        <w:t xml:space="preserve">★3、在进行维保范围内医疗设备巡检和预防性维护过程中，要求投标单位全天候24小时内根据科室设备使用情况，在不影</w:t>
      </w:r>
      <w:r>
        <w:rPr>
          <w:rFonts w:hint="eastAsia" w:ascii="宋体" w:hAnsi="宋体" w:eastAsia="宋体" w:cs="宋体"/>
          <w:b/>
          <w:bCs w:val="0"/>
          <w:i/>
          <w:iCs/>
          <w:sz w:val="24"/>
          <w:szCs w:val="24"/>
        </w:rPr>
        <w:t xml:space="preserve">响医学诊疗工作的前提下，提供不限次数的维保服务和备件服务，并及时处理可能产生的故障，确保医疗设备的正常使用，使性能指标与该机器生产厂家提供的性能指标相符。特殊设备需提供国家认可单位出具的检测报告。</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宋体"/>
          <w:b/>
          <w:bCs w:val="0"/>
          <w:i/>
          <w:iCs/>
          <w:sz w:val="24"/>
          <w:szCs w:val="24"/>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4、大型医疗设备与重点设备(磁共振、CT类、X光类等影像设备等)提供的一年四次维护、保养、校正服务，应提供详细定期保养报告，计划性定期的维护保养服务检测包括设备清洁、性能测试及校准、必要的机械或电气的检查，以及非紧急性质的预防性维修，并定期对设备的数据进行备份，以及确保系统能按照制造商的产品规格运行的其它维护，保养报告上交设备科，并做好记录。</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5、根据维修保养情况记录表的内容，分析设备故障，追踪设备的故障和维修情况，动态掌握和分析设备故障的原因，了解配件的更换情况，每季度形成维修分析报告交设备科。</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★6、大型医疗设备与重点设备(磁共振、CT类、X光类等影像设备等)核心零配件为原厂全新配件，重要部件如球管、探测器等配件，</w:t>
      </w:r>
      <w:r>
        <w:rPr>
          <w:rFonts w:hint="eastAsia" w:ascii="宋体" w:hAnsi="宋体" w:eastAsia="宋体" w:cs="Times New Roman"/>
          <w:b/>
          <w:bCs w:val="0"/>
          <w:i/>
          <w:iCs/>
          <w:color w:val="000000"/>
          <w:sz w:val="24"/>
          <w:szCs w:val="24"/>
          <w:highlight w:val="none"/>
          <w:lang w:val="en-US" w:eastAsia="zh-CN" w:bidi="ar-SA"/>
        </w:rPr>
        <w:t xml:space="preserve">中标方需提供零配件的报关单备查。</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7、针对每一次设备维修情况，对故障进行记录并进行分析，详细记录故障属于日常使用故障、设备老化磨损故障、电路故障、设备软件故障、还是机械故障，在及时排除故障的同时针对每种故障类型做出相对应的应急措施，及时告知招标人设备管理人员或使用人员避免该类故障的正确做法。每月形成维修记录汇总表，每季度形成维修分析报告交设备科。</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8、针对大型影像及内镜类设备，投标人必须具有设备维修涉及的全套专业维修工具并提供相应工具图片及对应的海关报关单扫描件或采购证明文件。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9、服从医院管理，接受临床、医技科室监督。</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（六）维修和保养零部件及易损件的要求</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val="0"/>
          <w:bCs/>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★1.中标方负责对维保设备的影响设备正常使用功能的所有零部件及易损件（非一次性使用耗材）免费更换。</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val="0"/>
          <w:bCs/>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2.易损件定义：组成设备和机器的不可分拆的单个制件，其制造过程一般不需要装配工序，设备制造商定义为短期一次性使用的除外（一般以设备制造商维修手册、使用手册为准）。</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宋体"/>
          <w:sz w:val="24"/>
          <w:szCs w:val="24"/>
          <w:lang w:val="en-US" w:eastAsia="zh-CN"/>
        </w:rPr>
      </w:pPr>
      <w:r>
        <w:rPr>
          <w:rFonts w:hint="eastAsia" w:ascii="宋体" w:hAnsi="宋体" w:eastAsia="宋体" w:cs="Times New Roman"/>
          <w:bCs/>
          <w:color w:val="000000"/>
          <w:sz w:val="24"/>
          <w:highlight w:val="none"/>
          <w:lang w:val="en-US" w:eastAsia="zh-CN"/>
        </w:rPr>
        <w:t xml:space="preserve">3.维修、保养工作需要更换的常见易损件包括但不限于如下：</w:t>
      </w:r>
      <w:r>
        <w:rPr>
          <w:rFonts w:hint="eastAsia" w:ascii="宋体" w:hAnsi="宋体" w:eastAsia="宋体" w:cs="宋体"/>
          <w:sz w:val="24"/>
          <w:szCs w:val="24"/>
          <w:lang w:val="en-US" w:eastAsia="zh-CN"/>
        </w:rPr>
      </w:r>
      <w:r/>
    </w:p>
    <w:tbl>
      <w:tblPr>
        <w:tblStyle w:val="1337"/>
        <w:tblW w:w="501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0"/>
        <w:gridCol w:w="3783"/>
        <w:gridCol w:w="4449"/>
      </w:tblGrid>
      <w:tr>
        <w:trPr>
          <w:trHeight w:val="389"/>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设备类型</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易损件名称</w:t>
            </w:r>
            <w:r>
              <w:rPr>
                <w:rFonts w:hint="eastAsia" w:ascii="宋体" w:hAnsi="宋体" w:eastAsia="宋体" w:cs="宋体"/>
                <w:sz w:val="24"/>
                <w:szCs w:val="24"/>
                <w:lang w:val="en-US" w:eastAsia="zh-CN"/>
              </w:rPr>
            </w:r>
            <w:r/>
          </w:p>
        </w:tc>
      </w:tr>
      <w:tr>
        <w:trPr>
          <w:trHeight w:val="1144"/>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超纯水设备&amp;水处理设备类（内镜清</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洗、供应室、检验科、血透室、 口腔</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科等）</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滤芯、树脂、活性炭、反渗透膜、管路消毒等</w:t>
            </w:r>
            <w:r>
              <w:rPr>
                <w:rFonts w:hint="eastAsia" w:ascii="宋体" w:hAnsi="宋体" w:eastAsia="宋体" w:cs="宋体"/>
                <w:sz w:val="24"/>
                <w:szCs w:val="24"/>
                <w:lang w:val="en-US" w:eastAsia="zh-CN"/>
              </w:rPr>
            </w:r>
            <w:r/>
          </w:p>
        </w:tc>
      </w:tr>
      <w:tr>
        <w:trPr>
          <w:trHeight w:val="764"/>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腔镜类设备、 胃肠镜类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冷光源、灯泡（常见品牌史塞克、Storz、奥林巴斯）等</w:t>
            </w:r>
            <w:r>
              <w:rPr>
                <w:rFonts w:hint="eastAsia" w:ascii="宋体" w:hAnsi="宋体" w:eastAsia="宋体" w:cs="宋体"/>
                <w:sz w:val="24"/>
                <w:szCs w:val="24"/>
                <w:lang w:val="en-US" w:eastAsia="zh-CN"/>
              </w:rPr>
            </w:r>
            <w:r/>
          </w:p>
        </w:tc>
      </w:tr>
      <w:tr>
        <w:trPr>
          <w:trHeight w:val="384"/>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硬镜设备类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手柄、导光束等</w:t>
            </w:r>
            <w:r>
              <w:rPr>
                <w:rFonts w:hint="eastAsia" w:ascii="宋体" w:hAnsi="宋体" w:eastAsia="宋体" w:cs="宋体"/>
                <w:sz w:val="24"/>
                <w:szCs w:val="24"/>
                <w:lang w:val="en-US" w:eastAsia="zh-CN"/>
              </w:rPr>
            </w:r>
            <w:r/>
          </w:p>
        </w:tc>
      </w:tr>
      <w:tr>
        <w:trPr>
          <w:trHeight w:val="764"/>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监护仪类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血氧探头、心电导联线、袖带、电池、滤网等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除颤仪类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心电导联线、 电池等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呼吸机、麻醉机类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氧传感器、流量传感器、 电池、滤网等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输液泵、推注泵类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电池等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无影灯、高强度紫外线消毒器类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灯泡、光源、紫外线灯管、滤网等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牙科治疗台类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牙科手机（包修，不含更换）、管路等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医疗设备附属不间断电源类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UPS、蓄电池等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放射设备类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球管、线圈、平板探测器等</w:t>
            </w:r>
            <w:r>
              <w:rPr>
                <w:rFonts w:hint="eastAsia" w:ascii="宋体" w:hAnsi="宋体" w:eastAsia="宋体" w:cs="宋体"/>
                <w:sz w:val="24"/>
                <w:szCs w:val="24"/>
                <w:lang w:val="en-US" w:eastAsia="zh-CN"/>
              </w:rPr>
            </w:r>
            <w:r/>
          </w:p>
        </w:tc>
      </w:tr>
      <w:tr>
        <w:trPr>
          <w:trHeight w:val="385"/>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核磁共振设备类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线圈、液氦、水冷机组、精密空调等</w:t>
            </w:r>
            <w:r>
              <w:rPr>
                <w:rFonts w:hint="eastAsia" w:ascii="宋体" w:hAnsi="宋体" w:eastAsia="宋体" w:cs="宋体"/>
                <w:sz w:val="24"/>
                <w:szCs w:val="24"/>
                <w:lang w:val="en-US" w:eastAsia="zh-CN"/>
              </w:rPr>
            </w:r>
            <w:r/>
          </w:p>
        </w:tc>
      </w:tr>
      <w:tr>
        <w:trPr>
          <w:trHeight w:val="526"/>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激光、超声能量类</w:t>
            </w:r>
            <w:r>
              <w:rPr>
                <w:rFonts w:hint="eastAsia" w:ascii="宋体" w:hAnsi="宋体" w:eastAsia="宋体" w:cs="宋体"/>
                <w:sz w:val="24"/>
                <w:szCs w:val="24"/>
                <w:lang w:val="en-US" w:eastAsia="zh-CN"/>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手具、光纤、治疗探头等</w:t>
            </w:r>
            <w:r>
              <w:rPr>
                <w:rFonts w:hint="eastAsia" w:ascii="宋体" w:hAnsi="宋体" w:eastAsia="宋体" w:cs="宋体"/>
                <w:sz w:val="24"/>
                <w:szCs w:val="24"/>
                <w:lang w:val="en-US" w:eastAsia="zh-CN"/>
              </w:rPr>
            </w:r>
            <w:r/>
          </w:p>
        </w:tc>
      </w:tr>
      <w:tr>
        <w:trPr>
          <w:trHeight w:val="769"/>
        </w:trPr>
        <w:tc>
          <w:tcPr>
            <w:tcW w:w="478"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2077"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其余设备产生易损</w:t>
            </w:r>
            <w:r>
              <w:rPr>
                <w:rFonts w:hint="eastAsia" w:ascii="宋体" w:hAnsi="宋体" w:eastAsia="宋体" w:cs="宋体"/>
                <w:sz w:val="24"/>
                <w:szCs w:val="24"/>
                <w:lang w:val="en-US" w:eastAsia="en-US"/>
              </w:rPr>
            </w:r>
            <w:r/>
          </w:p>
        </w:tc>
        <w:tc>
          <w:tcPr>
            <w:tcW w:w="244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压力表、流量计、汞柱血压计、电针仪、血</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氧指夹、血压计袖带等</w:t>
            </w:r>
            <w:r>
              <w:rPr>
                <w:rFonts w:hint="eastAsia" w:ascii="宋体" w:hAnsi="宋体" w:eastAsia="宋体" w:cs="宋体"/>
                <w:sz w:val="24"/>
                <w:szCs w:val="24"/>
                <w:lang w:val="en-US" w:eastAsia="en-US"/>
              </w:rPr>
            </w:r>
            <w:r/>
          </w:p>
        </w:tc>
      </w:tr>
    </w:tbl>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4.所有更换零部件、易损件等维修维护材料必须符合《医疗器械监督管理条例》等相关法律法规的要求，在中国境内可依常规安全合法使用，确保医疗设备应用安全和医疗安全。零配件、易损件等更换须依据相关法律法规和行业要求做好详细记录，进口核心零部件应提供报关单等资料。由零部件、易损件等引起的一切法律法规责任，全部由中标方自行承担。</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(七)专业技术人员要求</w:t>
      </w:r>
      <w:r>
        <w:rPr>
          <w:rFonts w:hint="eastAsia" w:ascii="宋体" w:hAnsi="宋体" w:eastAsia="宋体" w:cs="Times New Roman"/>
          <w:b/>
          <w:bCs w:val="0"/>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1、本项目投标单位应制定详细的人员配备计划，除驻场服务工程师外，还应配备相关的远程技术服务团队，并具有重要故障维修的原厂技术支援能力等。</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b/>
          <w:bCs w:val="0"/>
          <w:i/>
          <w:iCs/>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2、本项目要求配备至少2名驻场</w:t>
      </w:r>
      <w:r>
        <w:rPr>
          <w:rFonts w:hint="eastAsia" w:ascii="宋体" w:hAnsi="宋体" w:eastAsia="宋体" w:cs="Times New Roman"/>
          <w:b/>
          <w:bCs w:val="0"/>
          <w:i/>
          <w:iCs/>
          <w:color w:val="000000"/>
          <w:sz w:val="24"/>
          <w:highlight w:val="none"/>
          <w:lang w:val="en-US" w:eastAsia="zh-CN"/>
        </w:rPr>
        <w:t xml:space="preserve">服务保障人员</w:t>
      </w:r>
      <w:r>
        <w:rPr>
          <w:rFonts w:hint="eastAsia" w:ascii="宋体" w:hAnsi="宋体" w:eastAsia="宋体" w:cs="Times New Roman"/>
          <w:b/>
          <w:bCs w:val="0"/>
          <w:i/>
          <w:iCs/>
          <w:color w:val="000000"/>
          <w:sz w:val="24"/>
          <w:highlight w:val="none"/>
          <w:lang w:val="en-US" w:eastAsia="zh-CN"/>
        </w:rPr>
        <w:t xml:space="preserve">，要求具有2年及以上医疗设备维修经验，</w:t>
      </w:r>
      <w:r>
        <w:rPr>
          <w:rFonts w:hint="eastAsia" w:ascii="宋体" w:hAnsi="宋体" w:eastAsia="宋体" w:cs="宋体"/>
          <w:b/>
          <w:bCs w:val="0"/>
          <w:i/>
          <w:iCs/>
          <w:sz w:val="24"/>
          <w:szCs w:val="24"/>
          <w:lang w:val="en-US" w:eastAsia="zh-CN"/>
        </w:rPr>
        <w:t xml:space="preserve">具有</w:t>
      </w:r>
      <w:r>
        <w:rPr>
          <w:rFonts w:hint="eastAsia" w:ascii="宋体" w:hAnsi="宋体" w:eastAsia="宋体" w:cs="宋体"/>
          <w:b/>
          <w:bCs w:val="0"/>
          <w:i/>
          <w:iCs/>
          <w:sz w:val="24"/>
          <w:szCs w:val="24"/>
        </w:rPr>
        <w:t xml:space="preserve">生物医学工程类专业或机械类或仪器类或自动化类或电子信息类或计算机类或工学类专业</w:t>
      </w:r>
      <w:r>
        <w:rPr>
          <w:rFonts w:hint="eastAsia" w:ascii="宋体" w:hAnsi="宋体" w:eastAsia="宋体" w:cs="宋体"/>
          <w:b/>
          <w:bCs w:val="0"/>
          <w:i/>
          <w:iCs/>
          <w:sz w:val="24"/>
          <w:szCs w:val="24"/>
          <w:lang w:val="en-US" w:eastAsia="zh-CN"/>
        </w:rPr>
        <w:t xml:space="preserve">大专及以上</w:t>
      </w:r>
      <w:r>
        <w:rPr>
          <w:rFonts w:hint="eastAsia" w:ascii="宋体" w:hAnsi="宋体" w:eastAsia="宋体" w:cs="宋体"/>
          <w:b/>
          <w:bCs w:val="0"/>
          <w:i/>
          <w:iCs/>
          <w:sz w:val="24"/>
          <w:szCs w:val="24"/>
        </w:rPr>
        <w:t xml:space="preserve">学历</w:t>
      </w: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根据医院维保设备实际需求和工作需要进行增减，服务保障人员由投标单位自行安排，但人员的一切事务及法律责任必须由投标单位负责，医院不承担任何责任。</w:t>
      </w:r>
      <w:r>
        <w:rPr>
          <w:rFonts w:hint="eastAsia" w:ascii="宋体" w:hAnsi="宋体" w:eastAsia="宋体" w:cs="Times New Roman"/>
          <w:b/>
          <w:bCs w:val="0"/>
          <w:i/>
          <w:iCs/>
          <w:color w:val="000000"/>
          <w:sz w:val="24"/>
          <w:highlight w:val="yellow"/>
          <w:lang w:val="en-US" w:eastAsia="zh-CN"/>
        </w:rPr>
        <w:t xml:space="preserve">（提供承诺函）</w:t>
      </w:r>
      <w:r>
        <w:rPr>
          <w:rFonts w:hint="eastAsia"/>
          <w:b/>
          <w:bCs w:val="0"/>
          <w:i/>
          <w:iCs/>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3、如中标单位工程技术人员的维修技术水平未达到医院服务要求，医院有权要求更换工程技术人员。所有驻场人员的人事变动或调整必须提前报医院书面批准，否则，不得更换。</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(八)投标人备件工具支持</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1、对于常用器材，投标单位须统一采购，统一管理，确保医院业务正常进行。</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2、投标单位须及时为维修人员提供维保范围内医疗设备的配件。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3、投标单位为驻院维修人员提供临时采购支持，建立国内、国外的采购渠道，对于稀缺维修备件要有采购计划，确保使用时能及时调配到位。</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4、投标单位应配置充足的专用维修工具，能快速解决设备故障问题。</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5、投标单位必须保证更换的备件为原厂标准的备件，大型设备及重点设备的核心部件为原厂全新配件，更换后设备能达到原厂运行标准。</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(九)服务保障及验收要求</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投标单位的维保经营管理活动应符合国家相关的法律法规要求，服务质量符合国家、省、市等各级部门组织进行的检查标准，符合医院有关部门和科室的工作时间和工作要求。特种设备(如高压灭菌设备、蒸汽发生器等)、特殊设备(如血透机等)、大型设备(如CT、DSA等)严格按照各级主管部门要求进行维保管理。</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Cs/>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★2、服务期内，保证设备开机率≥95%，医院大型设备（如MRI/DSA/CT/DR等）月开机率≥95%，开机率未达到时，按故障设备故障发生前三个月的日均收入进行赔偿。</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Cs/>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3、医院大型设备(如CT、DSA等)必须由持有生产厂家颁发证书的工程师维修保养，无证人员不得拆机。</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4、投标单位未能按照院方招标要求按质按量完成维保服务工作的，院方根据对投标单位的服务考核评价情况扣除相应服务费。服务期内出现≥3次重大维修事件(如严重影响医院服务能力、造成人员伤害事件等)，院方有权提前终止服务合同。对医院或患者造成损失的，由投标单位承担全部损失。</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▲5、针对重点设备——超声设备质控保障：投标人配备超声设备的质控工具（包括但不限于</w:t>
      </w:r>
      <w:r>
        <w:rPr>
          <w:rFonts w:hint="eastAsia" w:ascii="宋体" w:hAnsi="宋体" w:eastAsia="宋体" w:cs="Times New Roman"/>
          <w:bCs/>
          <w:color w:val="000000"/>
          <w:sz w:val="24"/>
          <w:highlight w:val="none"/>
          <w:lang w:val="en-US" w:eastAsia="zh-CN"/>
        </w:rPr>
        <w:t xml:space="preserve">超声功率计、仿组织超声体模</w:t>
      </w:r>
      <w:r>
        <w:rPr>
          <w:rFonts w:hint="eastAsia" w:ascii="宋体" w:hAnsi="宋体" w:eastAsia="宋体" w:cs="Times New Roman"/>
          <w:bCs/>
          <w:color w:val="000000"/>
          <w:sz w:val="24"/>
          <w:highlight w:val="none"/>
          <w:lang w:val="en-US" w:eastAsia="zh-CN"/>
        </w:rPr>
        <w:t xml:space="preserve">），能为超声设备开展质控服务，提供</w:t>
      </w:r>
      <w:r>
        <w:rPr>
          <w:rFonts w:hint="eastAsia" w:ascii="宋体" w:hAnsi="宋体" w:eastAsia="宋体" w:cs="Times New Roman"/>
          <w:bCs/>
          <w:color w:val="000000"/>
          <w:sz w:val="24"/>
          <w:highlight w:val="none"/>
          <w:lang w:val="en-US" w:eastAsia="zh-CN"/>
        </w:rPr>
        <w:t xml:space="preserve">质控工具</w:t>
      </w:r>
      <w:r>
        <w:rPr>
          <w:rFonts w:hint="eastAsia" w:ascii="宋体" w:hAnsi="宋体" w:eastAsia="宋体" w:cs="Times New Roman"/>
          <w:bCs/>
          <w:color w:val="000000"/>
          <w:sz w:val="24"/>
          <w:highlight w:val="none"/>
          <w:lang w:val="en-US" w:eastAsia="zh-CN"/>
        </w:rPr>
        <w:t xml:space="preserve">的采购证明文件。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▲6、针对重点设备——核磁设备质控保障：</w:t>
      </w:r>
      <w:r>
        <w:rPr>
          <w:rFonts w:hint="eastAsia" w:ascii="宋体" w:hAnsi="宋体" w:eastAsia="宋体" w:cs="Times New Roman"/>
          <w:bCs/>
          <w:color w:val="000000"/>
          <w:sz w:val="24"/>
          <w:highlight w:val="none"/>
          <w:lang w:val="en-US" w:eastAsia="zh-CN"/>
        </w:rPr>
        <w:t xml:space="preserve">投标人配备</w:t>
      </w:r>
      <w:r>
        <w:rPr>
          <w:rFonts w:hint="eastAsia" w:ascii="宋体" w:hAnsi="宋体" w:eastAsia="宋体" w:cs="Times New Roman"/>
          <w:bCs/>
          <w:color w:val="000000"/>
          <w:sz w:val="24"/>
          <w:highlight w:val="none"/>
          <w:lang w:val="en-US" w:eastAsia="zh-CN"/>
        </w:rPr>
        <w:t xml:space="preserve">核磁设备的质控工具</w:t>
      </w:r>
      <w:r>
        <w:rPr>
          <w:rFonts w:hint="eastAsia" w:ascii="宋体" w:hAnsi="宋体" w:eastAsia="宋体" w:cs="Times New Roman"/>
          <w:bCs/>
          <w:color w:val="000000"/>
          <w:sz w:val="24"/>
          <w:highlight w:val="none"/>
          <w:lang w:val="en-US" w:eastAsia="zh-CN"/>
        </w:rPr>
        <w:t xml:space="preserve">（包括但不限于医用MRI模体）</w:t>
      </w:r>
      <w:r>
        <w:rPr>
          <w:rFonts w:hint="eastAsia" w:ascii="宋体" w:hAnsi="宋体" w:eastAsia="宋体" w:cs="Times New Roman"/>
          <w:bCs/>
          <w:color w:val="000000"/>
          <w:sz w:val="24"/>
          <w:highlight w:val="none"/>
          <w:lang w:val="en-US" w:eastAsia="zh-CN"/>
        </w:rPr>
        <w:t xml:space="preserve">，能为核磁设备开展质控服务，</w:t>
      </w:r>
      <w:r>
        <w:rPr>
          <w:rFonts w:hint="eastAsia" w:ascii="宋体" w:hAnsi="宋体" w:eastAsia="宋体" w:cs="Times New Roman"/>
          <w:bCs/>
          <w:color w:val="000000"/>
          <w:sz w:val="24"/>
          <w:highlight w:val="none"/>
          <w:lang w:val="en-US" w:eastAsia="zh-CN"/>
        </w:rPr>
        <w:t xml:space="preserve">提供质控工具的采购证明文件。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▲7、针对重点设备——CT设备质控保障：</w:t>
      </w:r>
      <w:r>
        <w:rPr>
          <w:rFonts w:hint="eastAsia" w:ascii="宋体" w:hAnsi="宋体" w:eastAsia="宋体" w:cs="Times New Roman"/>
          <w:bCs/>
          <w:color w:val="000000"/>
          <w:sz w:val="24"/>
          <w:highlight w:val="none"/>
          <w:lang w:val="en-US" w:eastAsia="zh-CN"/>
        </w:rPr>
        <w:t xml:space="preserve">投标人配备</w:t>
      </w:r>
      <w:r>
        <w:rPr>
          <w:rFonts w:hint="eastAsia" w:ascii="宋体" w:hAnsi="宋体" w:eastAsia="宋体" w:cs="Times New Roman"/>
          <w:bCs/>
          <w:color w:val="000000"/>
          <w:sz w:val="24"/>
          <w:highlight w:val="none"/>
          <w:lang w:val="en-US" w:eastAsia="zh-CN"/>
        </w:rPr>
        <w:t xml:space="preserve">CT设备的质控工具（</w:t>
      </w:r>
      <w:r>
        <w:rPr>
          <w:rFonts w:hint="eastAsia" w:ascii="宋体" w:hAnsi="宋体" w:eastAsia="宋体" w:cs="Times New Roman"/>
          <w:bCs/>
          <w:color w:val="000000"/>
          <w:sz w:val="24"/>
          <w:highlight w:val="none"/>
          <w:lang w:val="en-US" w:eastAsia="zh-CN"/>
        </w:rPr>
        <w:t xml:space="preserve">包括但不限于CT标准模块</w:t>
      </w:r>
      <w:r>
        <w:rPr>
          <w:rFonts w:hint="eastAsia" w:ascii="宋体" w:hAnsi="宋体" w:eastAsia="宋体" w:cs="Times New Roman"/>
          <w:bCs/>
          <w:color w:val="000000"/>
          <w:sz w:val="24"/>
          <w:highlight w:val="none"/>
          <w:lang w:val="en-US" w:eastAsia="zh-CN"/>
        </w:rPr>
        <w:t xml:space="preserve">），能为CT设备开展质控服务</w:t>
      </w:r>
      <w:r>
        <w:rPr>
          <w:rFonts w:hint="eastAsia" w:ascii="宋体" w:hAnsi="宋体" w:eastAsia="宋体" w:cs="Times New Roman"/>
          <w:bCs/>
          <w:color w:val="000000"/>
          <w:sz w:val="24"/>
          <w:highlight w:val="none"/>
          <w:lang w:val="en-US" w:eastAsia="zh-CN"/>
        </w:rPr>
        <w:t xml:space="preserve">，提供质控工具的采购证明文件。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▲8、针对重点设备——DSA设备质控保障：投标人须拥有DSA设备的质控工具，能为DSA设备开展质控服务；投标人须提供拥有《DSA性能检测模体》的所属证明及购置发票与校准证书。</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9、验收标准：对于纳入国家强检的计量及质量检测范围内的设备，须通过国家检测部门的计量及质量检测。对于未纳入国家强检的计量及质量检测范围内的设备，须通过院方委托的第三方检测机构的计量及质量检测。同时，设备制造商组织对所属设备进行年度巡检的，须通过原厂年度巡检，以厂家出具的巡检服务质量报告结果为准。因未通过上述检测需重新维修调试的，有关费用由维保单位承担。</w:t>
      </w:r>
      <w:r>
        <w:rPr>
          <w:rFonts w:hint="eastAsia" w:ascii="宋体" w:hAnsi="宋体" w:eastAsia="宋体" w:cs="Times New Roman"/>
          <w:b/>
          <w:bCs/>
          <w:i/>
          <w:iCs/>
          <w:color w:val="000000"/>
          <w:sz w:val="24"/>
          <w:highlight w:val="yellow"/>
          <w:lang w:val="en-US" w:eastAsia="zh-CN"/>
        </w:rPr>
        <w:t xml:space="preserve">（提供承诺函）</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（十）现有维保衔接</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★1.维保清单内，本项目采购人已购原厂维保的设备清单，原厂维保合同到期后，该设备纳入投标人维保服务范围内。费用根据分项报价按实结算，精确到天。（注：投标时按年度报价）</w:t>
      </w:r>
      <w:r>
        <w:rPr>
          <w:rFonts w:hint="eastAsia" w:ascii="宋体" w:hAnsi="宋体" w:eastAsia="宋体" w:cs="Times New Roman"/>
          <w:b/>
          <w:bCs/>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2.现有设备维保到期时间表</w:t>
      </w:r>
      <w:r>
        <w:rPr>
          <w:rFonts w:hint="eastAsia" w:ascii="宋体" w:hAnsi="宋体" w:eastAsia="宋体" w:cs="Times New Roman"/>
          <w:bCs/>
          <w:color w:val="000000"/>
          <w:sz w:val="24"/>
          <w:highlight w:val="none"/>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95"/>
        <w:gridCol w:w="3091"/>
      </w:tblGrid>
      <w:tr>
        <w:trPr>
          <w:trHeight w:val="609"/>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设备名称</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现有维保结束时间</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全自动摆药机售后服务费</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2026.8.31</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飞利浦BVC臂机白金保</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2026.9.14</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Allura Xper FD20</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2026.5.24</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Multiva 1.5T 16 R5</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2026.5.24</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联影CT</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2026.8.17</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GE64排CT</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2027.5.20</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联影uCT528维保</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2027.8.1</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奥林巴斯胃肠镜及胆道镜维保</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2026.10.30</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富士内镜维保</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2026.10.9</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电子上消化道内窥镜（放大）日本富士EG-760Z</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2026.4.12</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电子上消化道内窥镜（治疗）日本富士EG-760CT</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2026.4.12</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电子结肠镜（富士EC-760R-V/M）</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2027.6.25</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VOLUSON E10彩超（GE）</w:t>
            </w:r>
            <w:r>
              <w:rPr>
                <w:rFonts w:hint="eastAsia" w:ascii="宋体" w:hAnsi="宋体" w:eastAsia="宋体" w:cs="宋体"/>
                <w:sz w:val="24"/>
                <w:szCs w:val="24"/>
                <w:lang w:val="en-US" w:eastAsia="zh-CN"/>
              </w:rPr>
            </w:r>
            <w:r/>
          </w:p>
        </w:tc>
        <w:tc>
          <w:tcPr>
            <w:tcW w:w="1664" w:type="dxa"/>
            <w:vAlign w:val="center"/>
            <w:vMerge w:val="restart"/>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2028.12.31</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VOLUSON S6彩超</w:t>
            </w:r>
            <w:r>
              <w:rPr>
                <w:rFonts w:hint="eastAsia" w:ascii="宋体" w:hAnsi="宋体" w:eastAsia="宋体" w:cs="宋体"/>
                <w:sz w:val="24"/>
                <w:szCs w:val="24"/>
                <w:lang w:val="en-US" w:eastAsia="zh-CN"/>
              </w:rPr>
            </w:r>
            <w:r/>
          </w:p>
        </w:tc>
        <w:tc>
          <w:tcPr>
            <w:tcW w:w="1664" w:type="dxa"/>
            <w:vAlign w:val="center"/>
            <w:vMerge w:val="continue"/>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VOLUSON S6彩超</w:t>
            </w:r>
            <w:r>
              <w:rPr>
                <w:rFonts w:hint="eastAsia" w:ascii="宋体" w:hAnsi="宋体" w:eastAsia="宋体" w:cs="宋体"/>
                <w:sz w:val="24"/>
                <w:szCs w:val="24"/>
                <w:lang w:val="en-US" w:eastAsia="zh-CN"/>
              </w:rPr>
            </w:r>
            <w:r/>
          </w:p>
        </w:tc>
        <w:tc>
          <w:tcPr>
            <w:tcW w:w="1664" w:type="dxa"/>
            <w:vAlign w:val="center"/>
            <w:vMerge w:val="continue"/>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IU22彩超（飞利浦）</w:t>
            </w:r>
            <w:r>
              <w:rPr>
                <w:rFonts w:hint="eastAsia" w:ascii="宋体" w:hAnsi="宋体" w:eastAsia="宋体" w:cs="宋体"/>
                <w:sz w:val="24"/>
                <w:szCs w:val="24"/>
                <w:lang w:val="en-US" w:eastAsia="zh-CN"/>
              </w:rPr>
            </w:r>
            <w:r/>
          </w:p>
        </w:tc>
        <w:tc>
          <w:tcPr>
            <w:tcW w:w="1664" w:type="dxa"/>
            <w:vAlign w:val="center"/>
            <w:vMerge w:val="restart"/>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2027.4.30</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CV580彩超</w:t>
            </w:r>
            <w:r>
              <w:rPr>
                <w:rFonts w:hint="eastAsia" w:ascii="宋体" w:hAnsi="宋体" w:eastAsia="宋体" w:cs="宋体"/>
                <w:sz w:val="24"/>
                <w:szCs w:val="24"/>
                <w:lang w:val="en-US" w:eastAsia="zh-CN"/>
              </w:rPr>
            </w:r>
            <w:r/>
          </w:p>
        </w:tc>
        <w:tc>
          <w:tcPr>
            <w:tcW w:w="1664" w:type="dxa"/>
            <w:vAlign w:val="center"/>
            <w:vMerge w:val="continue"/>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CV580彩超</w:t>
            </w:r>
            <w:r>
              <w:rPr>
                <w:rFonts w:hint="eastAsia" w:ascii="宋体" w:hAnsi="宋体" w:eastAsia="宋体" w:cs="宋体"/>
                <w:sz w:val="24"/>
                <w:szCs w:val="24"/>
                <w:lang w:val="en-US" w:eastAsia="zh-CN"/>
              </w:rPr>
            </w:r>
            <w:r/>
          </w:p>
        </w:tc>
        <w:tc>
          <w:tcPr>
            <w:tcW w:w="1664" w:type="dxa"/>
            <w:vAlign w:val="center"/>
            <w:vMerge w:val="continue"/>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EPIQ 7C彩超（飞利浦）</w:t>
            </w:r>
            <w:r>
              <w:rPr>
                <w:rFonts w:hint="eastAsia" w:ascii="宋体" w:hAnsi="宋体" w:eastAsia="宋体" w:cs="宋体"/>
                <w:sz w:val="24"/>
                <w:szCs w:val="24"/>
                <w:lang w:val="en-US" w:eastAsia="zh-CN"/>
              </w:rPr>
            </w:r>
            <w:r/>
          </w:p>
        </w:tc>
        <w:tc>
          <w:tcPr>
            <w:tcW w:w="1664" w:type="dxa"/>
            <w:vAlign w:val="center"/>
            <w:vMerge w:val="restart"/>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2027.4.22</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Affiniti 70（飞利浦）</w:t>
            </w:r>
            <w:r>
              <w:rPr>
                <w:rFonts w:hint="eastAsia" w:ascii="宋体" w:hAnsi="宋体" w:eastAsia="宋体" w:cs="宋体"/>
                <w:sz w:val="24"/>
                <w:szCs w:val="24"/>
                <w:lang w:val="en-US" w:eastAsia="zh-CN"/>
              </w:rPr>
            </w:r>
            <w:r/>
          </w:p>
        </w:tc>
        <w:tc>
          <w:tcPr>
            <w:tcW w:w="1664" w:type="dxa"/>
            <w:vAlign w:val="center"/>
            <w:vMerge w:val="continue"/>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GE台式彩超（Versana balance s）</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2028.10.19</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GE便携式彩超（Versana active）</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2028.10.19</w:t>
            </w:r>
            <w:r>
              <w:rPr>
                <w:rFonts w:hint="eastAsia" w:ascii="宋体" w:hAnsi="宋体" w:eastAsia="宋体" w:cs="宋体"/>
                <w:sz w:val="24"/>
                <w:szCs w:val="24"/>
                <w:lang w:val="en-US" w:eastAsia="zh-CN"/>
              </w:rPr>
            </w:r>
            <w:r/>
          </w:p>
        </w:tc>
      </w:tr>
      <w:tr>
        <w:trPr>
          <w:trHeight w:val="285"/>
        </w:trPr>
        <w:tc>
          <w:tcPr>
            <w:tcW w:w="3335"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GE心脏彩超（Vivid iq）</w:t>
            </w:r>
            <w:r>
              <w:rPr>
                <w:rFonts w:hint="eastAsia" w:ascii="宋体" w:hAnsi="宋体" w:eastAsia="宋体" w:cs="宋体"/>
                <w:sz w:val="24"/>
                <w:szCs w:val="24"/>
                <w:lang w:val="en-US" w:eastAsia="zh-CN"/>
              </w:rPr>
            </w:r>
            <w:r/>
          </w:p>
        </w:tc>
        <w:tc>
          <w:tcPr>
            <w:tcW w:w="1664" w:type="dxa"/>
            <w:vAlign w:val="center"/>
            <w:textDirection w:val="lrTb"/>
            <w:noWrap/>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2026.10.19</w:t>
            </w:r>
            <w:r>
              <w:rPr>
                <w:rFonts w:hint="eastAsia" w:ascii="宋体" w:hAnsi="宋体" w:eastAsia="宋体" w:cs="宋体"/>
                <w:sz w:val="24"/>
                <w:szCs w:val="24"/>
                <w:lang w:val="en-US" w:eastAsia="zh-CN"/>
              </w:rPr>
            </w:r>
            <w:r/>
          </w:p>
        </w:tc>
      </w:tr>
    </w:tbl>
    <w:p>
      <w:pPr>
        <w:pStyle w:val="1092"/>
        <w:contextualSpacing/>
        <w:ind w:left="-2" w:firstLine="482"/>
        <w:spacing w:line="360" w:lineRule="auto"/>
        <w:tabs>
          <w:tab w:val="left" w:pos="567" w:leader="none"/>
        </w:tabs>
        <w:rPr>
          <w:rFonts w:hint="eastAsia" w:ascii="宋体" w:hAnsi="宋体" w:eastAsia="宋体" w:cs="宋体"/>
          <w:sz w:val="24"/>
          <w:szCs w:val="24"/>
          <w:lang w:val="en-US" w:eastAsia="zh-CN"/>
        </w:rPr>
      </w:pPr>
      <w:r>
        <w:rPr>
          <w:rFonts w:hint="eastAsia" w:ascii="宋体" w:hAnsi="宋体" w:eastAsia="宋体" w:cs="Times New Roman"/>
          <w:b/>
          <w:bCs w:val="0"/>
          <w:i/>
          <w:iCs/>
          <w:color w:val="000000"/>
          <w:sz w:val="24"/>
          <w:highlight w:val="none"/>
          <w:lang w:val="en-US" w:eastAsia="zh-CN"/>
        </w:rPr>
        <w:t xml:space="preserve">★（十一）投标人须承诺遵守《安全生产法》等相关法律法规、遵守医院安全生产管理规定、服从医院安全生产管理，对本维保项目范围内的安全管理承担完全责任等。投标人根据项目需求及特点提供维保作业安全责任承诺书。</w:t>
      </w:r>
      <w:r>
        <w:rPr>
          <w:rFonts w:hint="eastAsia" w:ascii="宋体" w:hAnsi="宋体" w:eastAsia="宋体" w:cs="Times New Roman"/>
          <w:b/>
          <w:bCs w:val="0"/>
          <w:i/>
          <w:iCs/>
          <w:color w:val="000000"/>
          <w:sz w:val="24"/>
          <w:highlight w:val="yellow"/>
          <w:lang w:val="en-US" w:eastAsia="zh-CN"/>
        </w:rPr>
        <w:t xml:space="preserve">（提供维保作业安全责任承诺书）</w:t>
      </w:r>
      <w:r>
        <w:rPr>
          <w:rFonts w:hint="eastAsia" w:ascii="宋体" w:hAnsi="宋体" w:eastAsia="宋体" w:cs="宋体"/>
          <w:sz w:val="24"/>
          <w:szCs w:val="24"/>
          <w:lang w:val="en-US" w:eastAsia="zh-CN"/>
        </w:rPr>
      </w:r>
      <w:r/>
    </w:p>
    <w:p>
      <w:pPr>
        <w:pStyle w:val="1092"/>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、维保服务的流程内容及信息化要求：</w:t>
      </w:r>
      <w:r>
        <w:rPr>
          <w:rFonts w:hint="eastAsia" w:ascii="宋体" w:hAnsi="宋体" w:eastAsia="宋体" w:cs="宋体"/>
          <w:b/>
          <w:bCs/>
          <w:sz w:val="24"/>
          <w:szCs w:val="24"/>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(一)流程管理要求</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医院医疗设备不同类别设备的功能、结构、原理、电路设计和使用方法不尽相同，其维保及预防性维护的内容也不完全一致，投标单位需提供流程管理服务，分别以下几个部分：</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1.外观检查：检查设备各按钮、开关、旋钮有无松动及错位，插头插座有无氧化、锈蚀或接触不良，电源线有无老化，散热风扇排风是否正常，各种连接线的连接和管道连接是否正确。</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2、清洁保养：对设备表面和内部的电气部分、机械部分进行清洁，包括清洗过滤网及有关管道，对设备有关插头插座进行清洁，防止接触不良，对必要的机械部分进行加油润滑。</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3、易损件的更换：需对已达使用寿命、性能下降且不合要求以及设备说明书中规定要求定期更换的配件进行及时更换。对设备内置电池电量不足的情况要督促有关人员进行充电。</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4、功能检查：设备通电检查各指示灯、指示器是否正常，进入各功能设置模式，通过调节、设置相关开关和按钮，检查设备各项功能是否正常。同时，通过模拟测试，检查设备各项报警功能是否能正常触发。</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性能测试及校准：检测设备各输出量值误差是否超出相关标准要求，并对超出标准范围的量值参数参照说明书步骤进行必要的调整和校准，以保证设备各项技术指标达到标准，确保仪器在医疗诊断与治疗中的质量。</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6、安全检查：</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6.1电气安全检查:检查各种引线、插头、连接器等有无破损，接地线是否牢固，接地阻抗、绝缘阻抗和漏电流是否在标准范围内。</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6.2机械检查:检查机械组件是否牢固，运转是否正常，各连接部件有无松动、脱落或破裂现象。</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6.3环境检查：检查设备使用环境温湿度是否符合要求，有无漏水及相关危险物品。</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(二)信息化管理要求</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1、投标单位中标后须免费提供医疗设备维保管理软件给医院使用，并保证该软件的正常使用和升级，该系统能为用户提供维保范围内的医疗设备周期的管理，须具备如下功能：</w:t>
      </w:r>
      <w:r>
        <w:rPr>
          <w:rFonts w:hint="eastAsia" w:ascii="宋体" w:hAnsi="宋体" w:eastAsia="宋体" w:cs="Times New Roman"/>
          <w:bCs/>
          <w:color w:val="000000"/>
          <w:sz w:val="24"/>
          <w:highlight w:val="none"/>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313"/>
        <w:gridCol w:w="6548"/>
      </w:tblGrid>
      <w:tr>
        <w:trPr>
          <w:trHeight w:val="482"/>
          <w:tblHeader/>
        </w:trPr>
        <w:tc>
          <w:tcPr>
            <w:tcW w:w="765" w:type="dxa"/>
            <w:vAlign w:val="center"/>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一级功能模块</w:t>
            </w:r>
            <w:r>
              <w:rPr>
                <w:rFonts w:hint="eastAsia" w:ascii="宋体" w:hAnsi="宋体" w:eastAsia="宋体" w:cs="宋体"/>
                <w:b/>
                <w:bCs/>
                <w:sz w:val="24"/>
                <w:szCs w:val="24"/>
              </w:rPr>
            </w:r>
            <w:r/>
          </w:p>
        </w:tc>
        <w:tc>
          <w:tcPr>
            <w:tcW w:w="707" w:type="dxa"/>
            <w:vAlign w:val="center"/>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二级功能模块</w:t>
            </w:r>
            <w:r>
              <w:rPr>
                <w:rFonts w:hint="eastAsia" w:ascii="宋体" w:hAnsi="宋体" w:eastAsia="宋体" w:cs="宋体"/>
                <w:b/>
                <w:bCs/>
                <w:sz w:val="24"/>
                <w:szCs w:val="24"/>
              </w:rPr>
            </w:r>
            <w:r/>
          </w:p>
        </w:tc>
        <w:tc>
          <w:tcPr>
            <w:tcW w:w="3527" w:type="dxa"/>
            <w:vAlign w:val="center"/>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功能描述</w:t>
            </w:r>
            <w:r>
              <w:rPr>
                <w:rFonts w:hint="eastAsia" w:ascii="宋体" w:hAnsi="宋体" w:eastAsia="宋体" w:cs="宋体"/>
                <w:b/>
                <w:bCs/>
                <w:sz w:val="24"/>
                <w:szCs w:val="24"/>
              </w:rPr>
            </w:r>
            <w:r/>
          </w:p>
        </w:tc>
      </w:tr>
      <w:tr>
        <w:trPr>
          <w:trHeight w:val="864"/>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医院用户</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科室管理</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维护及查询所属医院机构、部门名称、上级部门、楼号、楼层、负责人、状态、创建人、创建时间、更新人、更新时间（支持修改，删除操作）</w:t>
            </w:r>
            <w:r>
              <w:rPr>
                <w:rFonts w:hint="eastAsia" w:ascii="宋体" w:hAnsi="宋体" w:eastAsia="宋体" w:cs="宋体"/>
                <w:sz w:val="24"/>
                <w:szCs w:val="24"/>
              </w:rPr>
            </w:r>
            <w:r/>
          </w:p>
        </w:tc>
      </w:tr>
      <w:tr>
        <w:trPr>
          <w:trHeight w:val="864"/>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医院用户管理</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维护及查询所属医院姓名、手机号、状态、在岗标志、所在主机构、角色、创建、创建人、更新人、更新时间（支持修改，注销，批量绑定机构操作）</w:t>
            </w:r>
            <w:r>
              <w:rPr>
                <w:rFonts w:hint="eastAsia" w:ascii="宋体" w:hAnsi="宋体" w:eastAsia="宋体" w:cs="宋体"/>
                <w:sz w:val="24"/>
                <w:szCs w:val="24"/>
              </w:rPr>
            </w:r>
            <w:r/>
          </w:p>
        </w:tc>
      </w:tr>
      <w:tr>
        <w:trPr>
          <w:trHeight w:val="576"/>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售后服务方</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维保人员绑定</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维护及查询用户绑定列表姓名、手机号、绑定机构、创建人、创建时间、更新人、更新时间（支持批量解除绑定操作）</w:t>
            </w:r>
            <w:r>
              <w:rPr>
                <w:rFonts w:hint="eastAsia" w:ascii="宋体" w:hAnsi="宋体" w:eastAsia="宋体" w:cs="宋体"/>
                <w:sz w:val="24"/>
                <w:szCs w:val="24"/>
              </w:rPr>
            </w:r>
            <w:r/>
          </w:p>
        </w:tc>
      </w:tr>
      <w:tr>
        <w:trPr>
          <w:trHeight w:val="864"/>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驻场人员管理</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维护及查询驻场人员管理姓名、手机号、状态、所属机构、所属部门、角色名称、在岗状态、短信通知、创建人、创建时间、更新人、更新时间（支持移除场地操作）</w:t>
            </w:r>
            <w:r>
              <w:rPr>
                <w:rFonts w:hint="eastAsia" w:ascii="宋体" w:hAnsi="宋体" w:eastAsia="宋体" w:cs="宋体"/>
                <w:sz w:val="24"/>
                <w:szCs w:val="24"/>
              </w:rPr>
            </w:r>
            <w:r/>
          </w:p>
        </w:tc>
      </w:tr>
      <w:tr>
        <w:trPr>
          <w:trHeight w:val="1420"/>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设备资产</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基础信息管理，医疗器械分类目录、一级分类、二级分类、三级分类、医疗器械分类管理、医疗器械注册证分类、医疗器械风险分类、医疗器械68码、68一级类目、68二级类目；支持查询设备的巡检、验收、维修、故障保修状态</w:t>
            </w:r>
            <w:r>
              <w:rPr>
                <w:rFonts w:hint="eastAsia" w:ascii="宋体" w:hAnsi="宋体" w:eastAsia="宋体" w:cs="宋体"/>
                <w:sz w:val="24"/>
                <w:szCs w:val="24"/>
              </w:rPr>
            </w:r>
            <w:r/>
          </w:p>
        </w:tc>
      </w:tr>
      <w:tr>
        <w:trPr>
          <w:trHeight w:val="576"/>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设备总览</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可视化设备总数、总设备资产、设备在保数量变化折线图(按月)、设备类型分布图、设备在保数量变化柱状图(按年)</w:t>
            </w:r>
            <w:r>
              <w:rPr>
                <w:rFonts w:hint="eastAsia" w:ascii="宋体" w:hAnsi="宋体" w:eastAsia="宋体" w:cs="宋体"/>
                <w:sz w:val="24"/>
                <w:szCs w:val="24"/>
              </w:rPr>
            </w:r>
            <w:r/>
          </w:p>
        </w:tc>
      </w:tr>
      <w:tr>
        <w:trPr>
          <w:trHeight w:val="864"/>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台账中转站</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查询科室、设备类型、设备名称、品牌、型号、状态、出厂SN、资产编码、附件标志、医院资产编号、年限到期日、投入使用时间日期、设备原值、查询设备资产数字身份证设备二维码</w:t>
            </w:r>
            <w:r>
              <w:rPr>
                <w:rFonts w:hint="eastAsia" w:ascii="宋体" w:hAnsi="宋体" w:eastAsia="宋体" w:cs="宋体"/>
                <w:sz w:val="24"/>
                <w:szCs w:val="24"/>
              </w:rPr>
            </w:r>
            <w:r/>
          </w:p>
        </w:tc>
      </w:tr>
      <w:tr>
        <w:trPr>
          <w:trHeight w:val="864"/>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二维码物料</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维护及查询二维码编号、机构、绑定状态、创建人、创建时间、绑定日期、绑定资产编码、绑定人（支持扫描二维码一键报障、查阅设备档案数据）</w:t>
            </w:r>
            <w:r>
              <w:rPr>
                <w:rFonts w:hint="eastAsia" w:ascii="宋体" w:hAnsi="宋体" w:eastAsia="宋体" w:cs="宋体"/>
                <w:sz w:val="24"/>
                <w:szCs w:val="24"/>
              </w:rPr>
            </w:r>
            <w:r/>
          </w:p>
        </w:tc>
      </w:tr>
      <w:tr>
        <w:trPr>
          <w:trHeight w:val="1152"/>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设备共享中心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共享设备管理</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及查询机构、部门、设备名称、品牌、型号、出厂SN、资产编号、共享状态、当前借用方、使用人、预计归还、预期天数、设备状态（支持查看设备详情、设备资产数字身份证设备二维码功能、支持添加共享设备、批量上下架、数据导出功能）</w:t>
            </w:r>
            <w:r>
              <w:rPr>
                <w:rFonts w:hint="eastAsia" w:ascii="宋体" w:hAnsi="宋体" w:eastAsia="宋体" w:cs="宋体"/>
                <w:sz w:val="24"/>
                <w:szCs w:val="24"/>
              </w:rPr>
            </w:r>
            <w:r/>
          </w:p>
        </w:tc>
      </w:tr>
      <w:tr>
        <w:trPr>
          <w:trHeight w:val="2304"/>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设备效益分析</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效益分析设备表</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科室选择，一键拉取高值设备，批量移除功能、查询所属科室、设备简称、品牌、型号、出厂SN、资产编码、机构资产编码、风险分类、设备类型、购置金额、安装日期、支持可视化查询指定设备的设备效率包含：检查人次分析、开机使用率VS空闲率分析、支持可视化查询单机效益：总收入、总成本、利润、利润率、同类设备利润率、收益率、同类设备收益率、利润率月度环比分析、收益率月度环比分析、收支月度环比分析、成本结构分析、成本结构月度环比分析</w:t>
            </w:r>
            <w:r>
              <w:rPr>
                <w:rFonts w:hint="eastAsia" w:ascii="宋体" w:hAnsi="宋体" w:eastAsia="宋体" w:cs="宋体"/>
                <w:sz w:val="24"/>
                <w:szCs w:val="24"/>
              </w:rPr>
            </w:r>
            <w:r/>
          </w:p>
        </w:tc>
      </w:tr>
      <w:tr>
        <w:trPr>
          <w:trHeight w:val="576"/>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备件中心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备件库存</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维护查询医院、备件名称、备件编号、备件品牌、公司条码、库存ID、库存数量、预警库存（支持在线编辑预计阈值），同时可系统记录备件申请记录、备件出入库记录</w:t>
            </w:r>
            <w:r>
              <w:rPr>
                <w:rFonts w:hint="eastAsia" w:ascii="宋体" w:hAnsi="宋体" w:eastAsia="宋体" w:cs="宋体"/>
                <w:sz w:val="24"/>
                <w:szCs w:val="24"/>
                <w:lang w:val="en-US"/>
              </w:rPr>
            </w:r>
            <w:r/>
          </w:p>
        </w:tc>
      </w:tr>
      <w:tr>
        <w:trPr>
          <w:trHeight w:val="1152"/>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维修中心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维修任务列表</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任务编号、机构、任务类型、报修来源、是否非医疗设备、状态、是否误报、维修费用、发起人、发起时间、当前责任人、第一责任人、任务耗时、紧急度、设备名称、品牌、型号、出厂SN、归属部门、来源工单号（支持一键查询任务编号详情功能）</w:t>
            </w:r>
            <w:r>
              <w:rPr>
                <w:rFonts w:hint="eastAsia" w:ascii="宋体" w:hAnsi="宋体" w:eastAsia="宋体" w:cs="宋体"/>
                <w:sz w:val="24"/>
                <w:szCs w:val="24"/>
              </w:rPr>
            </w:r>
            <w:r/>
          </w:p>
        </w:tc>
      </w:tr>
      <w:tr>
        <w:trPr>
          <w:trHeight w:val="1440"/>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维修工单</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任务编号、机构、工单类型、报修来源、维修方式、维修费用、发起人、发起时间、任务耗时、紧急度、完成人、验收人、设备名称、品牌、型号、出厂SN、归属部门、来源工单号（支持附图片维修及在线签名功能、支持查看及在线导出PDF格式工单操作）</w:t>
            </w:r>
            <w:r>
              <w:rPr>
                <w:rFonts w:hint="eastAsia" w:ascii="宋体" w:hAnsi="宋体" w:eastAsia="宋体" w:cs="宋体"/>
                <w:sz w:val="24"/>
                <w:szCs w:val="24"/>
              </w:rPr>
            </w:r>
            <w:r/>
          </w:p>
        </w:tc>
      </w:tr>
      <w:tr>
        <w:trPr>
          <w:trHeight w:val="1024"/>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巡检中心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巡检中心</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维护查询计划名称、机构名称、状态、计划说明、开始日期、结束日期、创建人、创建时间（支持可视化查看巡检计划详情、支持一键跳转任务查询，并在线生成设备巡检单、巡检任务列表</w:t>
            </w:r>
            <w:r>
              <w:rPr>
                <w:rFonts w:hint="eastAsia" w:ascii="宋体" w:hAnsi="宋体" w:eastAsia="宋体" w:cs="宋体"/>
                <w:sz w:val="24"/>
                <w:szCs w:val="24"/>
                <w:lang w:val="en-US"/>
              </w:rPr>
            </w:r>
            <w:r/>
          </w:p>
        </w:tc>
      </w:tr>
      <w:tr>
        <w:trPr>
          <w:trHeight w:val="722"/>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保养中心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保养计划</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维护查询计划名称、机构名称、状态、计划说明、开始日期、结束日期、创建人、创建时间</w:t>
            </w:r>
            <w:r>
              <w:rPr>
                <w:rFonts w:hint="eastAsia" w:ascii="宋体" w:hAnsi="宋体" w:eastAsia="宋体" w:cs="宋体"/>
                <w:sz w:val="24"/>
                <w:szCs w:val="24"/>
              </w:rPr>
            </w:r>
            <w:r/>
          </w:p>
        </w:tc>
      </w:tr>
      <w:tr>
        <w:trPr>
          <w:trHeight w:val="1152"/>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设备保养单</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任务编号、机构、部门、负责人、验收状态、保养日期描述、执行日期、设备名称、设备类型、风险分类、注册证分类、设备品牌、设备型号、出厂SN、资产编码、二维码编码（支持批量下载表格工单功能）</w:t>
            </w:r>
            <w:r>
              <w:rPr>
                <w:rFonts w:hint="eastAsia" w:ascii="宋体" w:hAnsi="宋体" w:eastAsia="宋体" w:cs="宋体"/>
                <w:sz w:val="24"/>
                <w:szCs w:val="24"/>
              </w:rPr>
            </w:r>
            <w:r/>
          </w:p>
        </w:tc>
      </w:tr>
      <w:tr>
        <w:trPr>
          <w:trHeight w:val="864"/>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部门保养单</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维护查询机构、部门、任务类型、月份、验收包生成时间、任务数量、验收状态、验收日期、验收人、部门保养ID</w:t>
            </w:r>
            <w:r>
              <w:rPr>
                <w:rFonts w:hint="eastAsia" w:ascii="宋体" w:hAnsi="宋体" w:eastAsia="宋体" w:cs="宋体"/>
                <w:sz w:val="24"/>
                <w:szCs w:val="24"/>
              </w:rPr>
            </w:r>
            <w:r/>
          </w:p>
        </w:tc>
      </w:tr>
      <w:tr>
        <w:trPr>
          <w:trHeight w:val="1152"/>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保养任务列表</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任务编号、机构、负责人、计划名称、状态、保养日期描述、是否逾期、提交完成日、部门、设备名称、设备类型、风险分类、注册证分类、设备名称、设备品牌、设备型号、出厂SN、资产编码、二维码编码（支持批量派单功能）</w:t>
            </w:r>
            <w:r>
              <w:rPr>
                <w:rFonts w:hint="eastAsia" w:ascii="宋体" w:hAnsi="宋体" w:eastAsia="宋体" w:cs="宋体"/>
                <w:sz w:val="24"/>
                <w:szCs w:val="24"/>
              </w:rPr>
            </w:r>
            <w:r/>
          </w:p>
        </w:tc>
      </w:tr>
      <w:tr>
        <w:trPr>
          <w:trHeight w:val="576"/>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质控中心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质控计划</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维护查询计划名称、机构名称、状态、计划说明、开始日期、结束日期、创建人、创建时间（支持可视化查询质控计划详情）</w:t>
            </w:r>
            <w:r>
              <w:rPr>
                <w:rFonts w:hint="eastAsia" w:ascii="宋体" w:hAnsi="宋体" w:eastAsia="宋体" w:cs="宋体"/>
                <w:sz w:val="24"/>
                <w:szCs w:val="24"/>
              </w:rPr>
            </w:r>
            <w:r/>
          </w:p>
        </w:tc>
      </w:tr>
      <w:tr>
        <w:trPr>
          <w:trHeight w:val="864"/>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设备质控单</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维护查询任务编号、机构、部门、负责人、验收状态、质控日期描述、执行日期、设备名称、设备类型、风险分类、注册证分类、设备品牌、设备型号、出厂SN、资产编码、二维码编码</w:t>
            </w:r>
            <w:r>
              <w:rPr>
                <w:rFonts w:hint="eastAsia" w:ascii="宋体" w:hAnsi="宋体" w:eastAsia="宋体" w:cs="宋体"/>
                <w:sz w:val="24"/>
                <w:szCs w:val="24"/>
              </w:rPr>
            </w:r>
            <w:r/>
          </w:p>
        </w:tc>
      </w:tr>
      <w:tr>
        <w:trPr>
          <w:trHeight w:val="576"/>
        </w:trPr>
        <w:tc>
          <w:tcPr>
            <w:tcW w:w="765" w:type="dxa"/>
            <w:vAlign w:val="center"/>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计量中心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计量计划管理</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维护查询机构、部门、设备类型、设备名称、品牌、型号、资产编码、出厂SN、是否强检、是否特种设备</w:t>
            </w:r>
            <w:r>
              <w:rPr>
                <w:rFonts w:hint="eastAsia" w:ascii="宋体" w:hAnsi="宋体" w:eastAsia="宋体" w:cs="宋体"/>
                <w:sz w:val="24"/>
                <w:szCs w:val="24"/>
              </w:rPr>
            </w:r>
            <w:r/>
          </w:p>
        </w:tc>
      </w:tr>
      <w:tr>
        <w:trPr>
          <w:trHeight w:val="1152"/>
        </w:trPr>
        <w:tc>
          <w:tcPr>
            <w:tcW w:w="765" w:type="dxa"/>
            <w:vAlign w:val="center"/>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计量任务列表</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任务编号、机构负责人、状态、计划计量日、是否逾期、、完成日期、部门、计量对象、设备类型、设备名称、设备品牌、设备型号、出厂SN、资产编码、二维码编码、部件名称、部件品牌、部件型号、部件出厂SN</w:t>
            </w:r>
            <w:r>
              <w:rPr>
                <w:rFonts w:hint="eastAsia" w:ascii="宋体" w:hAnsi="宋体" w:eastAsia="宋体" w:cs="宋体"/>
                <w:sz w:val="24"/>
                <w:szCs w:val="24"/>
              </w:rPr>
            </w:r>
            <w:r/>
          </w:p>
        </w:tc>
      </w:tr>
      <w:tr>
        <w:trPr>
          <w:trHeight w:val="1152"/>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不良事件管理</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不良事件管理</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可视化查询不良事件数量，维护查询机构、部门、设备名称、设备类型、品牌、型号、出厂SN、资产编号、报修人、使用时间、维修单号、是否停机、申请人、状态（支持一键跳转查询任务编号操作）</w:t>
            </w:r>
            <w:r>
              <w:rPr>
                <w:rFonts w:hint="eastAsia" w:ascii="宋体" w:hAnsi="宋体" w:eastAsia="宋体" w:cs="宋体"/>
                <w:sz w:val="24"/>
                <w:szCs w:val="24"/>
              </w:rPr>
            </w:r>
            <w:r/>
          </w:p>
        </w:tc>
      </w:tr>
      <w:tr>
        <w:trPr>
          <w:trHeight w:val="1206"/>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综合服务报告</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服务报告</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维护查询设备分类、设备名称、品牌、型号、出厂SN、资产编码、医院资产编号、设备价格、年限、售后状态、安装日期、风险分类、附件标志、主资产编码、订阅时间、订阅人，可在线生成全院科室级综合服务报告、设备大类综合服务报告、全院维修数据年度同比分析等</w:t>
            </w:r>
            <w:r>
              <w:rPr>
                <w:rFonts w:hint="eastAsia" w:ascii="宋体" w:hAnsi="宋体" w:eastAsia="宋体" w:cs="宋体"/>
                <w:sz w:val="24"/>
                <w:szCs w:val="24"/>
                <w:lang w:val="en-US"/>
              </w:rPr>
            </w:r>
            <w:r/>
          </w:p>
        </w:tc>
      </w:tr>
      <w:tr>
        <w:trPr>
          <w:trHeight w:val="460"/>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维保服务分析</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全院服务分析报告</w:t>
            </w:r>
            <w:r>
              <w:rPr>
                <w:rFonts w:hint="eastAsia" w:ascii="宋体" w:hAnsi="宋体" w:eastAsia="宋体" w:cs="宋体"/>
                <w:sz w:val="24"/>
                <w:szCs w:val="24"/>
                <w:lang w:val="en-US"/>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支持在线按机构名称、服务类型、统计时间、服务方类型生成报告，如：机构月度维修报告、部门开机率报告、部门综合服务报告、设备分类维修报告、单机故障率TOP、维修季度年度服务分析</w:t>
            </w:r>
            <w:r>
              <w:rPr>
                <w:rFonts w:hint="eastAsia" w:ascii="宋体" w:hAnsi="宋体" w:eastAsia="宋体" w:cs="宋体"/>
                <w:sz w:val="24"/>
                <w:szCs w:val="24"/>
                <w:lang w:val="en-US"/>
              </w:rPr>
            </w:r>
            <w:r/>
          </w:p>
        </w:tc>
      </w:tr>
      <w:tr>
        <w:trPr>
          <w:trHeight w:val="580"/>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报表中心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服务统计报表</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支持按机构、归属部门、设备名称、维修发起日期、资产编码、设备品牌、维修完成日期、设备型号、出厂SN、维修进度生成报表，如：巡检统计报表、保养统计报表、质控统计报表、计量统计报表、备件使用明细报表、科室设备故障率统计报表、工程师维修工作量统计等</w:t>
            </w:r>
            <w:r>
              <w:rPr>
                <w:rFonts w:hint="eastAsia" w:ascii="宋体" w:hAnsi="宋体" w:eastAsia="宋体" w:cs="宋体"/>
                <w:sz w:val="24"/>
                <w:szCs w:val="24"/>
                <w:lang w:val="en-US"/>
              </w:rPr>
            </w:r>
            <w:r/>
          </w:p>
        </w:tc>
      </w:tr>
      <w:tr>
        <w:trPr>
          <w:trHeight w:val="576"/>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维保任务总看版</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维保任务总看版</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支持按时间、所属科室、设备类型、风险等级可视化查询年度任务看板、季度任务看板、月度任务看板</w:t>
            </w:r>
            <w:r>
              <w:rPr>
                <w:rFonts w:hint="eastAsia" w:ascii="宋体" w:hAnsi="宋体" w:eastAsia="宋体" w:cs="宋体"/>
                <w:sz w:val="24"/>
                <w:szCs w:val="24"/>
              </w:rPr>
            </w:r>
            <w:r/>
          </w:p>
        </w:tc>
      </w:tr>
      <w:tr>
        <w:trPr>
          <w:trHeight w:val="864"/>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维保数字大屏</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维保数字大屏</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支持可视化查询设备数量、大型设备情况、维修任务看板、设备维保全生命周期数据看板、维修任务量月度环比分析、近7天总开机率、当前维修任务量分布、维修任务动态</w:t>
            </w:r>
            <w:r>
              <w:rPr>
                <w:rFonts w:hint="eastAsia" w:ascii="宋体" w:hAnsi="宋体" w:eastAsia="宋体" w:cs="宋体"/>
                <w:sz w:val="24"/>
                <w:szCs w:val="24"/>
              </w:rPr>
            </w:r>
            <w:r/>
          </w:p>
        </w:tc>
      </w:tr>
      <w:tr>
        <w:trPr>
          <w:trHeight w:val="576"/>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下载中心</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下载中心</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维护查询下载类型、下载请求条件、状态、发起人、发起时间、文件生成时间、文件大小（支持在线下载操作）</w:t>
            </w:r>
            <w:r>
              <w:rPr>
                <w:rFonts w:hint="eastAsia" w:ascii="宋体" w:hAnsi="宋体" w:eastAsia="宋体" w:cs="宋体"/>
                <w:sz w:val="24"/>
                <w:szCs w:val="24"/>
              </w:rPr>
            </w:r>
            <w:r/>
          </w:p>
        </w:tc>
      </w:tr>
      <w:tr>
        <w:trPr>
          <w:trHeight w:val="864"/>
        </w:trPr>
        <w:tc>
          <w:tcPr>
            <w:tcW w:w="765"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设备资产数字大屏</w:t>
            </w:r>
            <w:r>
              <w:rPr>
                <w:rFonts w:hint="eastAsia" w:ascii="宋体" w:hAnsi="宋体" w:eastAsia="宋体" w:cs="宋体"/>
                <w:sz w:val="24"/>
                <w:szCs w:val="24"/>
              </w:rPr>
            </w:r>
            <w:r/>
          </w:p>
        </w:tc>
        <w:tc>
          <w:tcPr>
            <w:tcW w:w="70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设备资产数字大屏</w:t>
            </w:r>
            <w:r>
              <w:rPr>
                <w:rFonts w:hint="eastAsia" w:ascii="宋体" w:hAnsi="宋体" w:eastAsia="宋体" w:cs="宋体"/>
                <w:sz w:val="24"/>
                <w:szCs w:val="24"/>
              </w:rPr>
            </w:r>
            <w:r/>
          </w:p>
        </w:tc>
        <w:tc>
          <w:tcPr>
            <w:tcW w:w="3527" w:type="dxa"/>
            <w:vAlign w:val="center"/>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支持可视化查询大型设备情况、正常设备数量、设备总资产、上月科室维修量排名TOP10、科室设备分布、月度维修/巡检/保养/质控/计量工单数量、科室今日设备开机率、科室今日设备开机率排行</w:t>
            </w:r>
            <w:r>
              <w:rPr>
                <w:rFonts w:hint="eastAsia" w:ascii="宋体" w:hAnsi="宋体" w:eastAsia="宋体" w:cs="宋体"/>
                <w:sz w:val="24"/>
                <w:szCs w:val="24"/>
              </w:rPr>
            </w:r>
            <w:r/>
          </w:p>
        </w:tc>
      </w:tr>
    </w:tbl>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2、提供的系统需满足医院流程，可根据医院需求升级，保证系统真实有效运行。</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▲3、投标人提供所供医疗设备管理系统软的计算机软件著作权登记证书。</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lang w:val="en-US" w:eastAsia="zh-CN"/>
        </w:rPr>
        <w:t xml:space="preserve">所供医疗设备管理系统软</w:t>
      </w:r>
      <w:r>
        <w:rPr>
          <w:rFonts w:hint="eastAsia" w:ascii="宋体" w:hAnsi="宋体" w:eastAsia="宋体" w:cs="Times New Roman"/>
          <w:bCs/>
          <w:color w:val="000000"/>
          <w:sz w:val="24"/>
          <w:highlight w:val="none"/>
          <w:lang w:val="en-US" w:eastAsia="zh-CN"/>
        </w:rPr>
        <w:t xml:space="preserve">具备公安局颁发的《网络安全等级保护备案证明》达到安全保护等级三级的能力，提供公安局颁发的《网络安全等级保护备案证明》证书。</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▲5、医疗设备管理系统软件的云服务器需达到公安局颁发的《信息系统安全等级保护》三级的要求，提供软件云服务器的《信息系统安全等级保护备案证明》证书扫描件以及其网络安全等级保护测评报告。</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★6、维保期满结束后，该软件系统采购方享有终身免费使用权，并免费提供不定期的系统升级服务。</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7、投标单位需向采购人提供全国医疗器械相关数据查询服务。</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8、投标单位需向采购人提供可视大屏等配套设施。</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w:t>
      </w:r>
      <w:r>
        <w:rPr>
          <w:rFonts w:hint="eastAsia" w:ascii="宋体" w:hAnsi="宋体" w:eastAsia="宋体" w:cs="Times New Roman"/>
          <w:b/>
          <w:bCs w:val="0"/>
          <w:i/>
          <w:iCs/>
          <w:color w:val="000000"/>
          <w:sz w:val="24"/>
          <w:highlight w:val="none"/>
          <w:lang w:val="en-US" w:eastAsia="zh-CN"/>
        </w:rPr>
        <w:t xml:space="preserve">9、投标单位承担</w:t>
      </w:r>
      <w:r>
        <w:rPr>
          <w:rFonts w:hint="eastAsia" w:ascii="宋体" w:hAnsi="宋体" w:eastAsia="宋体" w:cs="Times New Roman"/>
          <w:b/>
          <w:bCs w:val="0"/>
          <w:i/>
          <w:iCs/>
          <w:color w:val="000000"/>
          <w:sz w:val="24"/>
          <w:highlight w:val="none"/>
          <w:lang w:val="en-US" w:eastAsia="zh-CN"/>
        </w:rPr>
        <w:t xml:space="preserve">医疗设备维保管理软件接入</w:t>
      </w:r>
      <w:r>
        <w:rPr>
          <w:rFonts w:hint="eastAsia" w:ascii="宋体" w:hAnsi="宋体" w:eastAsia="宋体" w:cs="Times New Roman"/>
          <w:b/>
          <w:bCs w:val="0"/>
          <w:i/>
          <w:iCs/>
          <w:color w:val="000000"/>
          <w:sz w:val="24"/>
          <w:highlight w:val="none"/>
          <w:lang w:val="en-US" w:eastAsia="zh-CN"/>
        </w:rPr>
        <w:t xml:space="preserve">医院HIS或PACS产生的接口费（</w:t>
      </w:r>
      <w:r>
        <w:rPr>
          <w:rFonts w:hint="eastAsia" w:ascii="宋体" w:hAnsi="宋体" w:cs="宋体"/>
          <w:b/>
          <w:bCs w:val="0"/>
          <w:i/>
          <w:iCs/>
          <w:sz w:val="24"/>
          <w:u w:val="single"/>
          <w:lang w:bidi="ar"/>
        </w:rPr>
        <w:t xml:space="preserve">经初步协商</w:t>
      </w:r>
      <w:r>
        <w:rPr>
          <w:rFonts w:hint="eastAsia" w:ascii="宋体" w:hAnsi="宋体" w:cs="宋体"/>
          <w:b/>
          <w:bCs w:val="0"/>
          <w:i/>
          <w:iCs/>
          <w:sz w:val="24"/>
          <w:u w:val="single"/>
          <w:lang w:val="en-US" w:eastAsia="zh-CN" w:bidi="ar"/>
        </w:rPr>
        <w:t xml:space="preserve">由此产生的接口费约</w:t>
      </w:r>
      <w:r>
        <w:rPr>
          <w:rFonts w:hint="eastAsia" w:ascii="宋体" w:hAnsi="宋体" w:eastAsia="宋体" w:cs="Times New Roman"/>
          <w:b/>
          <w:bCs w:val="0"/>
          <w:i/>
          <w:iCs/>
          <w:color w:val="000000"/>
          <w:sz w:val="24"/>
          <w:highlight w:val="none"/>
          <w:lang w:val="en-US" w:eastAsia="zh-CN"/>
        </w:rPr>
        <w:t xml:space="preserve">10万元）。</w:t>
      </w:r>
      <w:r>
        <w:rPr>
          <w:rFonts w:hint="eastAsia" w:ascii="宋体" w:hAnsi="宋体" w:eastAsia="宋体" w:cs="Times New Roman"/>
          <w:b/>
          <w:bCs w:val="0"/>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10、项目服务期间，医疗设备管理运行所产生的数据所有权归采购人。投标人须遵守院方保密规定，不得泄露院方所提供的属院方秘密的信息和数据。未经院方允许，不得使用或者以其它方式向任何第三方提供本项目所涉及的相关信息或数据。</w:t>
      </w:r>
      <w:r>
        <w:rPr>
          <w:rFonts w:ascii="宋体" w:hAnsi="宋体" w:eastAsia="宋体" w:cs="Times New Roman"/>
          <w:bCs/>
          <w:color w:val="000000"/>
          <w:sz w:val="24"/>
          <w:highlight w:val="none"/>
          <w:lang w:val="en-US" w:eastAsia="zh-CN"/>
        </w:rPr>
      </w:r>
      <w:r/>
    </w:p>
    <w:p>
      <w:pPr>
        <w:pStyle w:val="1092"/>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61595</wp:posOffset>
                </wp:positionH>
                <wp:positionV relativeFrom="paragraph">
                  <wp:posOffset>1075690</wp:posOffset>
                </wp:positionV>
                <wp:extent cx="5559425" cy="216662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59425" cy="2166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5;o:allowoverlap:true;o:allowincell:true;mso-position-horizontal-relative:text;margin-left:4.8pt;mso-position-horizontal:absolute;mso-position-vertical-relative:text;margin-top:84.7pt;mso-position-vertical:absolute;width:437.8pt;height:170.6pt;mso-wrap-distance-left:0.0pt;mso-wrap-distance-top:0.0pt;mso-wrap-distance-right:0.0pt;mso-wrap-distance-bottom:0.0pt;" stroked="f">
                <v:path textboxrect="0,0,0,0"/>
                <w10:wrap type="topAndBottom"/>
                <v:imagedata r:id="rId25" o:title=""/>
              </v:shape>
            </w:pict>
          </mc:Fallback>
        </mc:AlternateContent>
      </w:r>
      <w:r>
        <w:rPr>
          <w:rFonts w:hint="eastAsia" w:ascii="宋体" w:hAnsi="宋体" w:eastAsia="宋体" w:cs="宋体"/>
          <w:sz w:val="24"/>
          <w:szCs w:val="24"/>
        </w:rPr>
        <w:t xml:space="preserve">(三)维保服务的信息化流程</w:t>
      </w:r>
      <w:r>
        <w:rPr>
          <w:rFonts w:hint="eastAsia" w:ascii="宋体" w:hAnsi="宋体" w:eastAsia="宋体" w:cs="宋体"/>
          <w:sz w:val="24"/>
          <w:szCs w:val="24"/>
        </w:rPr>
      </w:r>
      <w:r/>
    </w:p>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1、事件报修及跟踪流程及管理要求</w:t>
      </w:r>
      <w:r>
        <w:rPr>
          <w:rFonts w:hint="eastAsia" w:ascii="宋体" w:hAnsi="宋体" w:eastAsia="宋体" w:cs="宋体"/>
          <w:sz w:val="24"/>
          <w:szCs w:val="24"/>
        </w:rPr>
      </w:r>
      <w:r/>
    </w:p>
    <w:p>
      <w:pPr>
        <w:pStyle w:val="10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1.1临床科室报修(电话、微信平台扫码保修)。</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1.2事件处理平台指派服务工程师响应。</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1.3服务工程师到达现场扫码反馈。</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1.4事件处理进度反馈(现场完成、取回维修、等待配件、需要支援)。</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1.5需要支援----服务方事件处理平台指派专业技术工程师支援(服务工程师负责事件进度跟踪、专业技术工程师负责处理维修事件)。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1.6事件处理平台对事件处理进度实时反馈给临床科室。</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1.7事件处理完成反馈。</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1.8性能检测。</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1.9临床科室验收。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1.10三日内服务工程师对事件进行回访。</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1.11维修间大屏动态显示，事件跟踪进度报警提醒。</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1.12医院医学装备管理部门可远程掌握维修事件进度并进行监督。</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五、应急预案</w:t>
      </w:r>
      <w:r>
        <w:rPr>
          <w:rFonts w:hint="eastAsia" w:ascii="宋体" w:hAnsi="宋体" w:eastAsia="宋体" w:cs="Times New Roman"/>
          <w:b/>
          <w:bCs w:val="0"/>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根据国务院《医疗器械监督管理条例》、卫生部《医疗器械临床使用安全管理规范(试行)》,投标单位须有能力提供以下应急措施：</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1、预防措施</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1.1投标单位工程师学习熟知所维保医疗设备的操作规程并能熟练操作设备。</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1.2投标单位工程师不定期检查所维保医疗设备状况，确保设备处于良好待用状态，发现故障不能自行解决的，应立即向总部报修。</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1.3对所维保医疗设备常用蓄电池，工程师应定期放电、充电，使蓄电池处于良好状态。</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1.4在对医疗设备进行维保过程中，投标单位工程师应随时观察设备的状态是否正常。</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2、应急措施</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2.1当发生突发事件时，投标单位人员应及时到达现场,服从医院统一指挥，提供技术保障支持。</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2.2夜间及节假日发生事件时，如需要，投标单位人员提供现场支持。</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2.3当因设备故障无法满足突发事件使用时，工程师应及时报告技术负责人，协调各备件库房紧急调配。</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2.4突发事件时根据设备故障性质和程度，决定是否启用备用保障设备还是现场紧急维修，以保证病人的救治，使设备故障对病人救治造成的影响程度降至最低。</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2.5在突发事件中，设备发生故障工程师按程序接收故障设备，及时优先进行维修。</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2.6应急或备用机使用完毕，工程师应做好装备的清洁消毒工作,并及时送回驻场备件库中妥善保存。</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★2.7依医院需求储备合格备用设备，至少含监护仪、心电图机、除颤仪、输液泵等设备，且备用设备需通过质控检测，数量不低于8台，类别由采购人指定。</w:t>
      </w:r>
      <w:r>
        <w:rPr>
          <w:rFonts w:hint="eastAsia" w:ascii="宋体" w:hAnsi="宋体" w:eastAsia="宋体" w:cs="Times New Roman"/>
          <w:b/>
          <w:bCs/>
          <w:i/>
          <w:iCs/>
          <w:color w:val="000000"/>
          <w:sz w:val="24"/>
          <w:highlight w:val="yellow"/>
          <w:lang w:val="en-US" w:eastAsia="zh-CN"/>
        </w:rPr>
        <w:t xml:space="preserve">（提供承诺函）</w:t>
      </w:r>
      <w:r>
        <w:rPr>
          <w:rFonts w:hint="eastAsia" w:ascii="宋体" w:hAnsi="宋体" w:eastAsia="宋体" w:cs="Times New Roman"/>
          <w:b/>
          <w:bCs w:val="0"/>
          <w:i/>
          <w:i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3、应急处置流程：</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设备故障→根据评估结果→更换备用设备→分析、反馈、维修、总结、改进。</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六、其他事项说明</w:t>
      </w:r>
      <w:r>
        <w:rPr>
          <w:rFonts w:hint="eastAsia" w:ascii="宋体" w:hAnsi="宋体" w:eastAsia="宋体" w:cs="Times New Roman"/>
          <w:b/>
          <w:bCs w:val="0"/>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1、采购人不组织集体踏勘，需要了解现场情况的请联系设备科，中标单位不得以任何不了解现场情况为由要求增加任何费用，现场踏勘的一切安全责任及费用由投标人自负。</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中标单位在服务期内必须按时配备相应工程师人数且为有相关资质的工程师，中标单位在进场一个月内不能按要求配备相应工程师人数且为有相关资质的工程师，则每延期一天每人每天扣总服务费用的1‰，整改一个月后仍不达标则扣除相应款项后，采购人有权解除合同；中标单位在履约期内不得随意调动驻场工程师，如必须调动则须先补充同级别的工程师(须得到采购人认可)，否则按缺少工程师扣款，每人每天扣总服务费用的1‰，整改一个月后仍不达标则扣除相应款项后，采购人有权解除合同。</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3、服务期内，中标人不得以任何理由转包或部分分包给其他单位。否则，院方有权提前终止合同，并按合同约定追究其违约责任。</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4、招标文件未约定内容由双方协商，在合同中另行约定。</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、其他要求</w:t>
      </w:r>
      <w:r>
        <w:rPr>
          <w:rFonts w:hint="eastAsia" w:ascii="宋体" w:hAnsi="宋体"/>
          <w:bCs/>
          <w:color w:val="000000"/>
          <w:sz w:val="24"/>
          <w:highlight w:val="none"/>
        </w:rPr>
      </w:r>
      <w:r/>
    </w:p>
    <w:p>
      <w:pPr>
        <w:pStyle w:val="109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1.电话和在线技术支持：提供7*24在线和电话支持，为设备的所有硬件和软件故障提供7*24小时不限次的在线和电话支持服务。</w:t>
      </w:r>
      <w:r>
        <w:rPr>
          <w:rFonts w:hint="eastAsia" w:ascii="宋体" w:hAnsi="宋体"/>
          <w:bCs/>
          <w:color w:val="000000"/>
          <w:sz w:val="24"/>
          <w:highlight w:val="none"/>
        </w:rPr>
      </w:r>
      <w:r/>
    </w:p>
    <w:p>
      <w:pPr>
        <w:pStyle w:val="109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2.免费故障硬件更换，保证系统不间断运行。如果服务覆盖的硬件出现无法远程解决的故障，中标人将安排工程师提供上门维修服务，在续保期内硬件配件及上门服务费用全免。</w:t>
      </w:r>
      <w:r>
        <w:rPr>
          <w:rFonts w:hint="eastAsia" w:ascii="宋体" w:hAnsi="宋体"/>
          <w:bCs/>
          <w:color w:val="000000"/>
          <w:sz w:val="24"/>
          <w:highlight w:val="none"/>
        </w:rPr>
      </w:r>
      <w:r/>
    </w:p>
    <w:p>
      <w:pPr>
        <w:pStyle w:val="109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3.现场支持服务：提供现场技术支持服务。针对在设备运行中出现的故障，通过电话仍无法解决问题，提供现场技术支持服务。现场技术支持包括故障诊断、提交解决方案、系统数据（参数）恢复等服务。</w:t>
      </w:r>
      <w:r>
        <w:rPr>
          <w:rFonts w:hint="eastAsia" w:ascii="宋体" w:hAnsi="宋体"/>
          <w:bCs/>
          <w:color w:val="000000"/>
          <w:sz w:val="24"/>
          <w:highlight w:val="none"/>
        </w:rPr>
      </w:r>
      <w:r/>
    </w:p>
    <w:p>
      <w:pPr>
        <w:pStyle w:val="109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应急服务：如系统运行出现异常情况时，必须保证在接到用户报修电话后，根据系统故障的紧急程度，将在1小时内指派合格的工程师到达故障现场，通过现场排除缺陷或替换出现故障“产品”等方式，在规定时间内完成维修任务，使设备运行无忧，无需另行支付额外费用，不限定应急服务次数。</w:t>
      </w:r>
      <w:r>
        <w:rPr>
          <w:rFonts w:hint="eastAsia" w:ascii="宋体" w:hAnsi="宋体"/>
          <w:bCs/>
          <w:color w:val="000000"/>
          <w:sz w:val="24"/>
          <w:highlight w:val="none"/>
        </w:rPr>
      </w:r>
      <w:r/>
    </w:p>
    <w:p>
      <w:pPr>
        <w:pStyle w:val="1092"/>
        <w:ind w:firstLine="482"/>
        <w:spacing w:line="360" w:lineRule="exact"/>
        <w:rPr>
          <w:rFonts w:hint="eastAsia" w:ascii="宋体" w:hAnsi="宋体" w:cs="宋体"/>
          <w:b/>
          <w:bCs/>
          <w:color w:val="000000"/>
          <w:sz w:val="24"/>
          <w:highlight w:val="none"/>
        </w:rPr>
        <w:outlineLvl w:val="0"/>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、报价方式</w:t>
      </w:r>
      <w:r>
        <w:rPr>
          <w:rFonts w:hint="eastAsia" w:ascii="宋体" w:hAnsi="宋体" w:cs="宋体"/>
          <w:b/>
          <w:bCs/>
          <w:color w:val="000000"/>
          <w:sz w:val="24"/>
          <w:highlight w:val="none"/>
        </w:rPr>
      </w:r>
      <w:r/>
    </w:p>
    <w:p>
      <w:pPr>
        <w:pStyle w:val="1186"/>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，投标总价应包括招标文件所确定的采购范围相应服务的提供、人员（包括工资和补贴）、配件费、</w:t>
      </w:r>
      <w:r>
        <w:rPr>
          <w:rFonts w:hint="eastAsia" w:ascii="宋体" w:hAnsi="宋体" w:eastAsia="宋体" w:cs="Times New Roman"/>
          <w:bCs/>
          <w:color w:val="000000"/>
          <w:sz w:val="24"/>
          <w:highlight w:val="none"/>
          <w:lang w:val="en-US" w:eastAsia="zh-CN"/>
        </w:rPr>
        <w:t xml:space="preserve">质控检测与校准费、</w:t>
      </w:r>
      <w:r>
        <w:rPr>
          <w:rFonts w:hint="eastAsia" w:ascii="宋体" w:hAnsi="宋体" w:cs="宋体"/>
          <w:color w:val="000000"/>
          <w:sz w:val="24"/>
          <w:szCs w:val="24"/>
          <w:highlight w:val="none"/>
        </w:rPr>
        <w:t xml:space="preserve">技术费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物流费、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highlight w:val="none"/>
        </w:rPr>
      </w:r>
      <w:r/>
    </w:p>
    <w:p>
      <w:pPr>
        <w:pStyle w:val="1186"/>
        <w:contextualSpacing/>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szCs w:val="24"/>
          <w:highlight w:val="none"/>
        </w:rPr>
        <w:t xml:space="preserve">报价货币为人民币，评审时以人民币为准。</w:t>
      </w:r>
      <w:r>
        <w:rPr>
          <w:rFonts w:hint="eastAsia" w:ascii="宋体" w:hAnsi="宋体" w:cs="宋体"/>
          <w:color w:val="000000"/>
          <w:sz w:val="24"/>
          <w:highlight w:val="none"/>
          <w:lang w:val="zh-CN"/>
        </w:rPr>
      </w:r>
      <w:r/>
    </w:p>
    <w:p>
      <w:pPr>
        <w:pStyle w:val="1186"/>
        <w:contextualSpacing/>
        <w:ind w:firstLine="482"/>
        <w:jc w:val="left"/>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九</w:t>
      </w:r>
      <w:r>
        <w:rPr>
          <w:rFonts w:hint="eastAsia" w:ascii="宋体" w:hAnsi="宋体"/>
          <w:b/>
          <w:bCs/>
          <w:color w:val="000000"/>
          <w:sz w:val="24"/>
          <w:szCs w:val="24"/>
          <w:highlight w:val="none"/>
        </w:rPr>
        <w:t xml:space="preserve">、服务期限：</w:t>
      </w:r>
      <w:r>
        <w:rPr>
          <w:rFonts w:hint="eastAsia" w:ascii="宋体" w:hAnsi="宋体"/>
          <w:color w:val="000000"/>
          <w:sz w:val="24"/>
          <w:szCs w:val="24"/>
          <w:highlight w:val="none"/>
        </w:rPr>
        <w:t xml:space="preserve">三年，合同一年一签。前一年合同期满，经采购人考核合格后方可续签下一年合同。</w:t>
      </w:r>
      <w:r>
        <w:rPr>
          <w:rFonts w:hint="eastAsia" w:ascii="宋体" w:hAnsi="宋体"/>
          <w:color w:val="000000"/>
          <w:sz w:val="24"/>
          <w:szCs w:val="24"/>
          <w:highlight w:val="none"/>
        </w:rPr>
      </w:r>
      <w:r/>
    </w:p>
    <w:p>
      <w:pPr>
        <w:pStyle w:val="1186"/>
        <w:contextualSpacing/>
        <w:ind w:firstLine="482"/>
        <w:jc w:val="left"/>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十</w:t>
      </w:r>
      <w:r>
        <w:rPr>
          <w:rFonts w:hint="eastAsia" w:ascii="宋体" w:hAnsi="宋体"/>
          <w:b/>
          <w:bCs/>
          <w:color w:val="000000"/>
          <w:sz w:val="24"/>
          <w:szCs w:val="24"/>
          <w:highlight w:val="none"/>
        </w:rPr>
        <w:t xml:space="preserve">、付款方式</w:t>
      </w:r>
      <w:r>
        <w:rPr>
          <w:rFonts w:hint="eastAsia" w:ascii="宋体" w:hAnsi="宋体"/>
          <w:b/>
          <w:bCs/>
          <w:color w:val="000000"/>
          <w:sz w:val="24"/>
          <w:szCs w:val="24"/>
          <w:highlight w:val="none"/>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服务费按季度支付，下一季度的第一个月支付上一季度的服务费用，根据月考核结果应扣除的服务费用在考核完成后在该季度服务费中扣除。</w:t>
      </w:r>
      <w:r>
        <w:rPr>
          <w:rFonts w:hint="eastAsia" w:ascii="宋体" w:hAnsi="宋体" w:eastAsia="宋体" w:cs="Times New Roman"/>
          <w:bCs/>
          <w:color w:val="000000"/>
          <w:sz w:val="24"/>
          <w:highlight w:val="none"/>
          <w:lang w:val="en-US" w:eastAsia="zh-CN"/>
        </w:rPr>
      </w:r>
      <w:r/>
    </w:p>
    <w:p>
      <w:pPr>
        <w:pStyle w:val="1092"/>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十一、维保管理和考核</w:t>
      </w:r>
      <w:r>
        <w:rPr>
          <w:rFonts w:hint="eastAsia" w:ascii="宋体" w:hAnsi="宋体" w:eastAsia="宋体" w:cs="Times New Roman"/>
          <w:b/>
          <w:bCs w:val="0"/>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1.医院是医疗单位，有行政、行业监管和要求，中标方必须完全接受医院的整体监管和指导。</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2.为保障医疗安全和医疗有序开展，中标方必须完全接受医院对本外包项目的管理、考核。</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3.医院方对中标方的考核。</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宋体"/>
          <w:sz w:val="24"/>
          <w:szCs w:val="24"/>
          <w:lang w:val="en-US" w:eastAsia="zh-CN"/>
        </w:rPr>
      </w:pPr>
      <w:r>
        <w:rPr>
          <w:rFonts w:hint="eastAsia" w:ascii="宋体" w:hAnsi="宋体" w:eastAsia="宋体" w:cs="Times New Roman"/>
          <w:bCs/>
          <w:color w:val="000000"/>
          <w:sz w:val="24"/>
          <w:highlight w:val="none"/>
          <w:lang w:val="en-US" w:eastAsia="zh-CN"/>
        </w:rPr>
        <w:t xml:space="preserve">3.1考核内容</w:t>
      </w:r>
      <w:r>
        <w:rPr>
          <w:rFonts w:hint="eastAsia" w:ascii="宋体" w:hAnsi="宋体" w:eastAsia="宋体" w:cs="宋体"/>
          <w:sz w:val="24"/>
          <w:szCs w:val="24"/>
          <w:lang w:val="en-US" w:eastAsia="zh-CN"/>
        </w:rPr>
      </w:r>
      <w:r/>
    </w:p>
    <w:tbl>
      <w:tblPr>
        <w:tblStyle w:val="1337"/>
        <w:tblW w:w="502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15"/>
        <w:gridCol w:w="5"/>
        <w:gridCol w:w="2504"/>
        <w:gridCol w:w="9"/>
        <w:gridCol w:w="3170"/>
        <w:gridCol w:w="16"/>
        <w:gridCol w:w="905"/>
        <w:gridCol w:w="1242"/>
        <w:gridCol w:w="59"/>
      </w:tblGrid>
      <w:tr>
        <w:trPr>
          <w:trHeight w:val="597"/>
        </w:trPr>
        <w:tc>
          <w:tcPr>
            <w:gridSpan w:val="9"/>
            <w:tcW w:w="9125"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医疗设备维保考核表</w:t>
            </w:r>
            <w:r>
              <w:rPr>
                <w:rFonts w:hint="eastAsia" w:ascii="宋体" w:hAnsi="宋体" w:eastAsia="宋体" w:cs="宋体"/>
                <w:sz w:val="24"/>
                <w:szCs w:val="24"/>
                <w:lang w:val="en-US" w:eastAsia="zh-CN"/>
              </w:rPr>
            </w:r>
            <w:r/>
          </w:p>
        </w:tc>
      </w:tr>
      <w:tr>
        <w:trPr>
          <w:trHeight w:val="470"/>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考核项目</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考核内容</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考核方法</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得分</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考核方</w:t>
            </w:r>
            <w:r>
              <w:rPr>
                <w:rFonts w:hint="eastAsia" w:ascii="宋体" w:hAnsi="宋体" w:eastAsia="宋体" w:cs="宋体"/>
                <w:sz w:val="24"/>
                <w:szCs w:val="24"/>
                <w:lang w:val="en-US" w:eastAsia="zh-CN"/>
              </w:rPr>
            </w:r>
            <w:r/>
          </w:p>
        </w:tc>
      </w:tr>
      <w:tr>
        <w:trPr>
          <w:trHeight w:val="114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驻场人员配备</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中标方自报的人数</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当月实际排班人员不足合同约定人数的，每缺一人扣 1.5分；人员变动 1 人扣 1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90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驻场人员资质</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必须是生物医学工程</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类专业或机械类、仪器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类、自动化类、电子信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息类、计算机类等相关</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工学类专业出身</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发现有人员资质不对的，每 1</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人扣 0.5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14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工作纪律</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1.遵纪守法</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2.遵守院纪院规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3.制定排班表</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如有违反视情节和后果每次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 0.5-1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90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服务态度</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1.着装统一，挂牌服务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2.服务主动、认真；沟通及时、有效</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服务结束后清洁场地、设备</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不满意或不符合每次扣0.5-1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临床 80%+装备科</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r>
      <w:tr>
        <w:trPr>
          <w:trHeight w:val="1144"/>
        </w:trPr>
        <w:tc>
          <w:tcPr>
            <w:gridSpan w:val="2"/>
            <w:tcW w:w="1220"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巡检和保养</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制定每月巡检和保养计划表</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未制定巡检、保养计划，扣 2</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分。计划不完整、不正确等情</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况，每项扣 0.5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145"/>
        </w:trPr>
        <w:tc>
          <w:tcPr>
            <w:gridSpan w:val="2"/>
            <w:tcW w:w="1220"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按计划执行保养和巡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检</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未按计划执行、无签字、记录</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内容不详细、不完整等情况，</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每次扣 1.5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gridSpan w:val="2"/>
            <w:tcW w:w="1301"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临床 80%+装备科</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r>
      <w:tr>
        <w:trPr>
          <w:trHeight w:val="1145"/>
        </w:trPr>
        <w:tc>
          <w:tcPr>
            <w:gridSpan w:val="2"/>
            <w:tcW w:w="1220"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巡检和保养质量、效果</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使用科室反馈巡检、保养不认</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真,视情节和后果每次扣 1-3</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gridSpan w:val="2"/>
            <w:tcW w:w="1301"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287"/>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报修响应速度</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1.座机或值班手机无人接听的；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2.报修后到场响应时间超过 20 分钟（非工作时间 1 小时）的。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视情节和后果每次扣 1-3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临床 80%+装备科</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r>
      <w:tr>
        <w:trPr>
          <w:gridAfter w:val="1"/>
          <w:trHeight w:val="3808"/>
        </w:trPr>
        <w:tc>
          <w:tcPr>
            <w:tcW w:w="666"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维修进度</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1.修复时间超过约定时间的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（不需要更换零部件、易损件</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等的一般不超过 48 小时；需</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要更换零部件、易损件等且需</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临时采购的一般不超过 72</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小时；零部件、易损件等需要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国外采购的一般不超过 1</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2.维修反馈不及时的。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视情节和后果每次扣 1-3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680"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gridAfter w:val="1"/>
          <w:trHeight w:val="1144"/>
        </w:trPr>
        <w:tc>
          <w:tcPr>
            <w:tcW w:w="666"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维修质量</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1.维修验收缺签字；</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2.临床反馈不满意的。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视情节和后果每次扣 1-3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680"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gridAfter w:val="1"/>
          <w:trHeight w:val="815"/>
        </w:trPr>
        <w:tc>
          <w:tcPr>
            <w:tcW w:w="666"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全部设备月平均开机率不低于 95%</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低于 95%扣 3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765"/>
        </w:trPr>
        <w:tc>
          <w:tcPr>
            <w:tcW w:w="666"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大放设备月平均开机率不低于 95%</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每低 1 个百分点扣2.5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1144"/>
        </w:trPr>
        <w:tc>
          <w:tcPr>
            <w:tcW w:w="66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公司总部的支持</w:t>
            </w: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1.配件的及时供应</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2.技术支持团队能力</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和效率</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不满意每次扣 1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1144"/>
        </w:trPr>
        <w:tc>
          <w:tcPr>
            <w:tcW w:w="66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配件质量</w:t>
            </w: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1.质量合格</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2.来源合规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3.全新件</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每发现一次不合规或不是全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新扣 1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2669"/>
        </w:trPr>
        <w:tc>
          <w:tcPr>
            <w:tcW w:w="66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协助医院设备管理</w:t>
            </w: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1.协助设备验收</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2.协助医院计量</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3.对设备的警示预告</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4.协助医院其它管理工作</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5.提供月度维修分析简报</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未提供简报每次扣 2 分；简报</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内容不全每次扣 1 分；不配合</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相关工作视情节和后果每次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 1-2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bl>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注：1.每月考核一次。</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2.考核得分为90 分及以上为合格，全额支付合同约定的服务费。</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3.考核低于 90 分，每 1 分扣 3000 元服务费。</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4.考核低于60 分或连续 3 次考核低于80 分，甲方有权终止合同。</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5.因中标方原因发生严重的不良事件并造成医院方重大经济损失或重大社会不良影响（解释权在医院方），医院方有权终止合同，中标方承担违约赔偿责任。严重不良事件包含但不限于如下事件：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1)在合同期间发生安全责任事故。</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2)在合同期间所辖人员发生违法事件。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3)在工作中发生消极怠工、故意诱导临床更新设备损害医院利益情节严重的。</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4)泄露医院数据、密码、信息等违反医院保密规定的。</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5)在合同期间发生由于医疗设备维修维护失当原因产生的医疗责任事故。</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4.每三个月按考核结果支付服务费。</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ascii="宋体" w:hAnsi="宋体" w:eastAsia="宋体" w:cs="Times New Roman"/>
          <w:bCs/>
          <w:color w:val="000000"/>
          <w:sz w:val="24"/>
          <w:highlight w:val="none"/>
          <w:lang w:val="en-US" w:eastAsia="zh-CN"/>
        </w:rPr>
      </w:pPr>
      <w:r>
        <w:rPr>
          <w:rFonts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ascii="宋体" w:hAnsi="宋体"/>
          <w:b/>
          <w:color w:val="000000"/>
          <w:sz w:val="36"/>
          <w:szCs w:val="36"/>
          <w:highlight w:val="none"/>
        </w:rPr>
      </w:pPr>
      <w:r>
        <w:rPr>
          <w:rFonts w:hint="eastAsia" w:ascii="宋体" w:hAnsi="宋体"/>
          <w:bCs/>
          <w:color w:val="000000"/>
          <w:sz w:val="24"/>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92"/>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3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3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106"/>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3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3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92"/>
        <w:ind w:firstLine="480"/>
        <w:jc w:val="left"/>
        <w:spacing w:line="360" w:lineRule="auto"/>
        <w:widowControl/>
        <w:rPr>
          <w:rFonts w:ascii="宋体" w:hAnsi="宋体"/>
          <w:bCs/>
          <w:color w:val="000000"/>
          <w:sz w:val="24"/>
          <w:highlight w:val="none"/>
        </w:rPr>
      </w:pPr>
      <w:r>
        <w:rPr>
          <w:rFonts w:hint="eastAsia" w:ascii="宋体" w:hAnsi="宋体" w:cs="宋体"/>
          <w:color w:val="000000"/>
          <w:sz w:val="24"/>
          <w:highlight w:val="none"/>
          <w:lang w:val="zh-CN"/>
        </w:rPr>
        <w:t xml:space="preserve">乙方根据甲方需求提供</w:t>
      </w:r>
      <w:r>
        <w:rPr>
          <w:rFonts w:hint="eastAsia" w:ascii="宋体" w:hAnsi="宋体" w:cs="宋体"/>
          <w:b/>
          <w:bCs/>
          <w:color w:val="000000"/>
          <w:sz w:val="24"/>
          <w:highlight w:val="none"/>
          <w:lang w:val="zh-CN"/>
        </w:rPr>
        <w:t xml:space="preserve">2026年度医疗设备全维保服务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en-US" w:eastAsia="zh-CN"/>
        </w:rPr>
        <w:t xml:space="preserve">,</w:t>
      </w:r>
      <w:r>
        <w:rPr>
          <w:rFonts w:hint="eastAsia" w:ascii="宋体" w:hAnsi="宋体"/>
          <w:bCs/>
          <w:color w:val="000000"/>
          <w:sz w:val="24"/>
          <w:highlight w:val="none"/>
        </w:rPr>
        <w:t xml:space="preserve">包含但不限于更换或维修（含零配件及非一次性易耗品）、技术安全检查管理、预防性维护保养管理、巡检、设备应急调配、资产盘点、质量控制检测、不良事件管理、配合上级各项检查、设备培训、提供备用机服务、提供设备等医学装备科承担的服务内容，并提供适用于全生命周期管理的应用软件，该软件在项目结束后所有权归医院。</w:t>
      </w:r>
      <w:r>
        <w:rPr>
          <w:rFonts w:ascii="宋体" w:hAnsi="宋体"/>
          <w:bCs/>
          <w:color w:val="000000"/>
          <w:sz w:val="24"/>
          <w:highlight w:val="none"/>
        </w:rPr>
      </w:r>
      <w:r/>
    </w:p>
    <w:p>
      <w:pPr>
        <w:pStyle w:val="113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3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w:t>
      </w:r>
      <w:r>
        <w:rPr>
          <w:rFonts w:hAnsi="宋体" w:cs="宋体"/>
          <w:b/>
          <w:color w:val="000000"/>
          <w:sz w:val="24"/>
          <w:szCs w:val="24"/>
          <w:highlight w:val="none"/>
        </w:rPr>
        <w:t xml:space="preserve">（小写       ）。 </w:t>
      </w:r>
      <w:r>
        <w:rPr>
          <w:rFonts w:hAnsi="宋体" w:cs="宋体"/>
          <w:b/>
          <w:color w:val="000000"/>
          <w:sz w:val="24"/>
          <w:szCs w:val="24"/>
          <w:highlight w:val="none"/>
        </w:rPr>
      </w:r>
      <w:r/>
    </w:p>
    <w:p>
      <w:pPr>
        <w:pStyle w:val="113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113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日。其中：前三个月为试用期，试用期满须经甲方考核，考核不合格，甲方有权解除合同。每年合同期满经甲方考核合格后续签下一年度合同（考核分数低于   分不得续签）。</w:t>
      </w:r>
      <w:r>
        <w:rPr>
          <w:rFonts w:ascii="宋体" w:hAnsi="宋体" w:cs="宋体"/>
          <w:color w:val="000000"/>
          <w:sz w:val="24"/>
          <w:highlight w:val="none"/>
        </w:rPr>
      </w:r>
      <w:r/>
    </w:p>
    <w:p>
      <w:pPr>
        <w:pStyle w:val="113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3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3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3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92"/>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color w:val="000000"/>
          <w:sz w:val="24"/>
          <w:highlight w:val="none"/>
        </w:rPr>
      </w:r>
      <w:r/>
    </w:p>
    <w:p>
      <w:pPr>
        <w:pStyle w:val="1092"/>
        <w:contextualSpacing/>
        <w:ind w:left="-2" w:firstLine="480"/>
        <w:spacing w:line="360" w:lineRule="auto"/>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eastAsia="宋体" w:cs="Times New Roman"/>
          <w:bCs/>
          <w:color w:val="000000"/>
          <w:sz w:val="24"/>
          <w:highlight w:val="none"/>
          <w:lang w:val="en-US" w:eastAsia="zh-CN"/>
        </w:rPr>
        <w:t xml:space="preserve">服务费按季度支付，下一季度的第一个月支付上一季度的服务费用，根据月考核结果应扣除的服务费用在考核完成后在该季度服务费中扣除。</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3.乙方未按本合同的规定和“服务承诺”提供伴随服务的，甲方有权提前解除本合同，同时乙方应按合同总价款的5 %向甲方承担违约责任。</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.乙方投标属虚假承诺，或是由于乙方的过错造成合同无法继续履行的，乙方应向甲方支付不少于合同总价30%违约金，若该违约金不足以弥补甲方损失，则应当赔偿甲方所有损失。</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9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9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9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9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9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hint="eastAsia" w:ascii="宋体" w:hAnsi="宋体" w:cs="宋体"/>
          <w:color w:val="000000"/>
          <w:sz w:val="24"/>
          <w:highlight w:val="none"/>
        </w:rPr>
      </w:r>
      <w:r/>
    </w:p>
    <w:p>
      <w:pPr>
        <w:pStyle w:val="1092"/>
        <w:spacing w:line="360" w:lineRule="auto"/>
        <w:rPr>
          <w:rFonts w:hint="eastAsia" w:ascii="宋体" w:hAnsi="宋体" w:cs="宋体"/>
          <w:color w:val="000000"/>
          <w:sz w:val="24"/>
          <w:highlight w:val="none"/>
          <w:lang w:val="en-US" w:eastAsia="zh-CN"/>
        </w:rPr>
      </w:pPr>
      <w:r>
        <w:rPr>
          <w:rFonts w:ascii="宋体" w:hAnsi="宋体" w:cs="宋体"/>
          <w:color w:val="000000"/>
          <w:sz w:val="24"/>
          <w:highlight w:val="none"/>
        </w:rPr>
        <w:br w:type="page" w:clear="all"/>
      </w:r>
      <w:r>
        <w:rPr>
          <w:rFonts w:hint="eastAsia" w:ascii="宋体" w:hAnsi="宋体" w:cs="宋体"/>
          <w:color w:val="000000"/>
          <w:sz w:val="24"/>
          <w:highlight w:val="none"/>
          <w:lang w:val="en-US" w:eastAsia="zh-CN"/>
        </w:rPr>
        <w:t xml:space="preserve">附件：评分标准</w:t>
      </w:r>
      <w:r>
        <w:rPr>
          <w:rFonts w:hint="eastAsia" w:ascii="宋体" w:hAnsi="宋体" w:cs="宋体"/>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2.为保障医疗安全和医疗有序开展，中标方必须完全接受医院对本外包项目的管理、考核。</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3.医院方对中标方的考核。</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宋体"/>
          <w:sz w:val="24"/>
          <w:szCs w:val="24"/>
          <w:lang w:val="en-US" w:eastAsia="zh-CN"/>
        </w:rPr>
      </w:pPr>
      <w:r>
        <w:rPr>
          <w:rFonts w:hint="eastAsia" w:ascii="宋体" w:hAnsi="宋体" w:eastAsia="宋体" w:cs="Times New Roman"/>
          <w:bCs/>
          <w:color w:val="000000"/>
          <w:sz w:val="24"/>
          <w:highlight w:val="none"/>
          <w:lang w:val="en-US" w:eastAsia="zh-CN"/>
        </w:rPr>
        <w:t xml:space="preserve">3.1考核内容</w:t>
      </w:r>
      <w:r>
        <w:rPr>
          <w:rFonts w:hint="eastAsia" w:ascii="宋体" w:hAnsi="宋体" w:eastAsia="宋体" w:cs="宋体"/>
          <w:sz w:val="24"/>
          <w:szCs w:val="24"/>
          <w:lang w:val="en-US" w:eastAsia="zh-CN"/>
        </w:rPr>
      </w:r>
      <w:r/>
    </w:p>
    <w:tbl>
      <w:tblPr>
        <w:tblStyle w:val="1337"/>
        <w:tblW w:w="502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15"/>
        <w:gridCol w:w="5"/>
        <w:gridCol w:w="2504"/>
        <w:gridCol w:w="9"/>
        <w:gridCol w:w="3170"/>
        <w:gridCol w:w="16"/>
        <w:gridCol w:w="905"/>
        <w:gridCol w:w="1242"/>
        <w:gridCol w:w="59"/>
      </w:tblGrid>
      <w:tr>
        <w:trPr>
          <w:trHeight w:val="597"/>
        </w:trPr>
        <w:tc>
          <w:tcPr>
            <w:gridSpan w:val="9"/>
            <w:tcW w:w="9125"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医疗设备维保考核表</w:t>
            </w:r>
            <w:r>
              <w:rPr>
                <w:rFonts w:hint="eastAsia" w:ascii="宋体" w:hAnsi="宋体" w:eastAsia="宋体" w:cs="宋体"/>
                <w:sz w:val="24"/>
                <w:szCs w:val="24"/>
                <w:lang w:val="en-US" w:eastAsia="zh-CN"/>
              </w:rPr>
            </w:r>
            <w:r/>
          </w:p>
        </w:tc>
      </w:tr>
      <w:tr>
        <w:trPr>
          <w:trHeight w:val="470"/>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考核项目</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考核内容</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考核方法</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得分</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考核方</w:t>
            </w:r>
            <w:r>
              <w:rPr>
                <w:rFonts w:hint="eastAsia" w:ascii="宋体" w:hAnsi="宋体" w:eastAsia="宋体" w:cs="宋体"/>
                <w:sz w:val="24"/>
                <w:szCs w:val="24"/>
                <w:lang w:val="en-US" w:eastAsia="zh-CN"/>
              </w:rPr>
            </w:r>
            <w:r/>
          </w:p>
        </w:tc>
      </w:tr>
      <w:tr>
        <w:trPr>
          <w:trHeight w:val="114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驻场人员配备</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中标方自报的人数</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当月实际排班人员不足合同约定人数的，每缺一人扣 1.5分；人员变动 1 人扣 1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90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驻场人员资质</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必须是生物医学工程</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类专业或机械类、仪器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类、自动化类、电子信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息类、计算机类等相关</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工学类专业出身</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发现有人员资质不对的，每 1</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人扣 0.5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14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工作纪律</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1.遵纪守法</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2.遵守院纪院规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3.制定排班表</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如有违反视情节和后果每次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 0.5-1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904"/>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服务态度</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1.着装统一，挂牌服务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2.服务主动、认真；沟通及时、有效</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服务结束后清洁场地、设备</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不满意或不符合每次扣0.5-1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临床 80%+装备科</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r>
      <w:tr>
        <w:trPr>
          <w:trHeight w:val="1144"/>
        </w:trPr>
        <w:tc>
          <w:tcPr>
            <w:gridSpan w:val="2"/>
            <w:tcW w:w="1220"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巡检和保养</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制定每月巡检和保养计划表</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未制定巡检、保养计划，扣 2</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分。计划不完整、不正确等情</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况，每项扣 0.5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trHeight w:val="1145"/>
        </w:trPr>
        <w:tc>
          <w:tcPr>
            <w:gridSpan w:val="2"/>
            <w:tcW w:w="1220"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按计划执行保养和巡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检</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未按计划执行、无签字、记录</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内容不详细、不完整等情况，</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每次扣 1.5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gridSpan w:val="2"/>
            <w:tcW w:w="1301"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临床 80%+装备科</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r>
      <w:tr>
        <w:trPr>
          <w:trHeight w:val="1145"/>
        </w:trPr>
        <w:tc>
          <w:tcPr>
            <w:gridSpan w:val="2"/>
            <w:tcW w:w="1220"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巡检和保养质量、效果</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使用科室反馈巡检、保养不认</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真,视情节和后果每次扣 1-3</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gridSpan w:val="2"/>
            <w:tcW w:w="1301"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287"/>
        </w:trPr>
        <w:tc>
          <w:tcPr>
            <w:gridSpan w:val="2"/>
            <w:tcW w:w="122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w:t>
            </w:r>
            <w:r>
              <w:rPr>
                <w:rFonts w:hint="eastAsia" w:ascii="宋体" w:hAnsi="宋体" w:eastAsia="宋体" w:cs="宋体"/>
                <w:sz w:val="24"/>
                <w:szCs w:val="24"/>
                <w:lang w:val="en-US" w:eastAsia="zh-CN"/>
              </w:rPr>
            </w:r>
            <w:r/>
          </w:p>
        </w:tc>
        <w:tc>
          <w:tcPr>
            <w:gridSpan w:val="2"/>
            <w:tcW w:w="2513"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报修响应速度</w:t>
            </w:r>
            <w:r>
              <w:rPr>
                <w:rFonts w:hint="eastAsia" w:ascii="宋体" w:hAnsi="宋体" w:eastAsia="宋体" w:cs="宋体"/>
                <w:sz w:val="24"/>
                <w:szCs w:val="24"/>
                <w:lang w:val="en-US" w:eastAsia="zh-CN"/>
              </w:rPr>
            </w:r>
            <w:r/>
          </w:p>
        </w:tc>
        <w:tc>
          <w:tcPr>
            <w:gridSpan w:val="2"/>
            <w:tcW w:w="318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1.座机或值班手机无人接听的；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2.报修后到场响应时间超过 20 分钟（非工作时间 1 小时）的。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视情节和后果每次扣 1-3 分。</w:t>
            </w:r>
            <w:r>
              <w:rPr>
                <w:rFonts w:hint="eastAsia" w:ascii="宋体" w:hAnsi="宋体" w:eastAsia="宋体" w:cs="宋体"/>
                <w:sz w:val="24"/>
                <w:szCs w:val="24"/>
                <w:lang w:val="en-US" w:eastAsia="zh-CN"/>
              </w:rPr>
            </w:r>
            <w:r/>
          </w:p>
        </w:tc>
        <w:tc>
          <w:tcPr>
            <w:tcW w:w="496" w:type="dxa"/>
            <w:vAlign w:val="top"/>
            <w:textDirection w:val="lrTb"/>
            <w:noWrap w:val="false"/>
          </w:tcPr>
          <w:p>
            <w:pPr>
              <w:pStyle w:val="109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gridSpan w:val="2"/>
            <w:tcW w:w="130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临床 80%+装备科</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r>
      <w:tr>
        <w:trPr>
          <w:gridAfter w:val="1"/>
          <w:trHeight w:val="3808"/>
        </w:trPr>
        <w:tc>
          <w:tcPr>
            <w:tcW w:w="666"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维修进度</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1.修复时间超过约定时间的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（不需要更换零部件、易损件</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等的一般不超过 48 小时；需</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要更换零部件、易损件等且需</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临时采购的一般不超过 72</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小时；零部件、易损件等需要</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国外采购的一般不超过 1</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2.维修反馈不及时的。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视情节和后果每次扣 1-3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680" w:type="dxa"/>
            <w:vAlign w:val="top"/>
            <w:vMerge w:val="restart"/>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gridAfter w:val="1"/>
          <w:trHeight w:val="1144"/>
        </w:trPr>
        <w:tc>
          <w:tcPr>
            <w:tcW w:w="666"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维修质量</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1.维修验收缺签字；</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2.临床反馈不满意的。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视情节和后果每次扣 1-3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680"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gridAfter w:val="1"/>
          <w:trHeight w:val="815"/>
        </w:trPr>
        <w:tc>
          <w:tcPr>
            <w:tcW w:w="666"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全部设备月平均开机率不低于 95%</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低于 95%扣 3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765"/>
        </w:trPr>
        <w:tc>
          <w:tcPr>
            <w:tcW w:w="666" w:type="dxa"/>
            <w:vAlign w:val="top"/>
            <w:vMerge w:val="continue"/>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大放设备月平均开机率不低于 95%</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每低 1 个百分点扣2.5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1144"/>
        </w:trPr>
        <w:tc>
          <w:tcPr>
            <w:tcW w:w="66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公司总部的支持</w:t>
            </w: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1.配件的及时供应</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2.技术支持团队能力</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和效率</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不满意每次扣 1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1144"/>
        </w:trPr>
        <w:tc>
          <w:tcPr>
            <w:tcW w:w="66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配件质量</w:t>
            </w: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1.质量合格</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2.来源合规</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3.全新件</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每发现一次不合规或不是全</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新扣 1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r>
        <w:trPr>
          <w:gridAfter w:val="1"/>
          <w:trHeight w:val="2669"/>
        </w:trPr>
        <w:tc>
          <w:tcPr>
            <w:tcW w:w="666"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协助医院设备管理</w:t>
            </w:r>
            <w:r>
              <w:rPr>
                <w:rFonts w:hint="eastAsia" w:ascii="宋体" w:hAnsi="宋体" w:eastAsia="宋体" w:cs="宋体"/>
                <w:sz w:val="24"/>
                <w:szCs w:val="24"/>
                <w:lang w:val="en-US" w:eastAsia="zh-CN"/>
              </w:rPr>
            </w:r>
            <w:r/>
          </w:p>
        </w:tc>
        <w:tc>
          <w:tcPr>
            <w:gridSpan w:val="2"/>
            <w:tcW w:w="250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1.协助设备验收</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2.协助医院计量</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3.对设备的警示预告</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4.协助医院其它管理工作</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5.提供月度维修分析简报</w:t>
            </w:r>
            <w:r>
              <w:rPr>
                <w:rFonts w:hint="eastAsia" w:ascii="宋体" w:hAnsi="宋体" w:eastAsia="宋体" w:cs="宋体"/>
                <w:sz w:val="24"/>
                <w:szCs w:val="24"/>
                <w:lang w:val="en-US" w:eastAsia="zh-CN"/>
              </w:rPr>
            </w:r>
            <w:r/>
          </w:p>
        </w:tc>
        <w:tc>
          <w:tcPr>
            <w:gridSpan w:val="2"/>
            <w:tcW w:w="3179"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未提供简报每次扣 2 分；简报</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内容不全每次扣 1 分；不配合</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相关工作视情节和后果每次</w:t>
            </w: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 1-2 分。</w:t>
            </w:r>
            <w:r>
              <w:rPr>
                <w:rFonts w:hint="eastAsia" w:ascii="宋体" w:hAnsi="宋体" w:eastAsia="宋体" w:cs="宋体"/>
                <w:sz w:val="24"/>
                <w:szCs w:val="24"/>
                <w:lang w:val="en-US" w:eastAsia="zh-CN"/>
              </w:rPr>
            </w:r>
            <w:r/>
          </w:p>
        </w:tc>
        <w:tc>
          <w:tcPr>
            <w:gridSpan w:val="2"/>
            <w:tcW w:w="921"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680" w:type="dxa"/>
            <w:vAlign w:val="top"/>
            <w:textDirection w:val="lrTb"/>
            <w:noWrap w:val="false"/>
          </w:tcPr>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装备科</w:t>
            </w:r>
            <w:r>
              <w:rPr>
                <w:rFonts w:hint="eastAsia" w:ascii="宋体" w:hAnsi="宋体" w:eastAsia="宋体" w:cs="宋体"/>
                <w:sz w:val="24"/>
                <w:szCs w:val="24"/>
                <w:lang w:val="en-US" w:eastAsia="zh-CN"/>
              </w:rPr>
            </w:r>
            <w:r/>
          </w:p>
        </w:tc>
      </w:tr>
    </w:tbl>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注：1.每月考核一次。</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2.考核得分为90 分及以上为合格，全额支付合同约定的服务费。</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3.考核低于 90 分，每 1 分扣 3000 元服务费。</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4.考核低于60 分或连续 3 次考核低于80 分甲方有权终止合同。</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5.因中标方原因发生严重的不良事件并造成医院方重大经济损失或重大社会不良影响（解释权在医院方），医院方有权终止合同，中标方承担违约赔偿责任。严重不良事件包含但不限于如下事件：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1)在合同期间发生安全责任事故。</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2)在合同期间所辖人员发生违法事件。</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3)在工作中发生消极怠工、故意诱导临床更新设备损害医院利益情节严重的。</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4)泄露医院数据、密码、信息等违反医院保密规定的。</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5)在合同期间发生由于医疗设备维修维护失当原因产生的医疗责任事故。</w:t>
      </w:r>
      <w:r>
        <w:rPr>
          <w:rFonts w:hint="eastAsia" w:ascii="宋体" w:hAnsi="宋体" w:eastAsia="宋体" w:cs="Times New Roman"/>
          <w:bCs/>
          <w:color w:val="000000"/>
          <w:sz w:val="24"/>
          <w:highlight w:val="none"/>
          <w:lang w:val="en-US" w:eastAsia="zh-CN"/>
        </w:rPr>
      </w:r>
      <w:r/>
    </w:p>
    <w:p>
      <w:pPr>
        <w:pStyle w:val="109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4.每三个月按考核结果支付服务费。</w:t>
      </w:r>
      <w:r>
        <w:rPr>
          <w:rFonts w:hint="eastAsia" w:ascii="宋体" w:hAnsi="宋体" w:eastAsia="宋体" w:cs="Times New Roman"/>
          <w:bCs/>
          <w:color w:val="000000"/>
          <w:sz w:val="24"/>
          <w:highlight w:val="none"/>
          <w:lang w:val="en-US" w:eastAsia="zh-CN"/>
        </w:rPr>
      </w:r>
      <w:r/>
    </w:p>
    <w:p>
      <w:pPr>
        <w:pStyle w:val="1092"/>
        <w:spacing w:line="360" w:lineRule="auto"/>
        <w:rPr>
          <w:rFonts w:ascii="宋体" w:hAnsi="宋体" w:cs="宋体"/>
          <w:color w:val="000000"/>
          <w:sz w:val="24"/>
          <w:highlight w:val="none"/>
        </w:rPr>
      </w:pPr>
      <w:r>
        <w:rPr>
          <w:rFonts w:ascii="宋体" w:hAnsi="宋体" w:cs="宋体"/>
          <w:color w:val="000000"/>
          <w:sz w:val="24"/>
          <w:highlight w:val="none"/>
        </w:rPr>
        <w:br w:type="page" w:clear="all"/>
      </w:r>
      <w:r>
        <w:rPr>
          <w:rFonts w:ascii="宋体" w:hAnsi="宋体" w:cs="宋体"/>
          <w:color w:val="000000"/>
          <w:sz w:val="24"/>
          <w:highlight w:val="none"/>
        </w:rPr>
      </w:r>
      <w:r/>
    </w:p>
    <w:p>
      <w:pPr>
        <w:pStyle w:val="1092"/>
        <w:jc w:val="center"/>
        <w:spacing w:line="360" w:lineRule="auto"/>
        <w:rPr>
          <w:rFonts w:ascii="宋体" w:hAnsi="宋体"/>
          <w:b/>
          <w:color w:val="000000"/>
          <w:sz w:val="36"/>
          <w:szCs w:val="36"/>
          <w:highlight w:val="none"/>
        </w:rPr>
        <w:outlineLvl w:val="0"/>
      </w:pPr>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9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9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9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9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9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9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9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9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9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92"/>
        <w:rPr>
          <w:rFonts w:ascii="宋体" w:hAnsi="宋体"/>
          <w:b/>
          <w:color w:val="000000"/>
          <w:spacing w:val="20"/>
          <w:szCs w:val="21"/>
          <w:highlight w:val="none"/>
        </w:rPr>
      </w:pPr>
      <w:r>
        <w:rPr>
          <w:rFonts w:ascii="宋体" w:hAnsi="宋体"/>
          <w:b/>
          <w:color w:val="000000"/>
          <w:spacing w:val="20"/>
          <w:szCs w:val="21"/>
          <w:highlight w:val="none"/>
        </w:rPr>
      </w:r>
      <w:r/>
    </w:p>
    <w:p>
      <w:pPr>
        <w:pStyle w:val="109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92"/>
        <w:jc w:val="center"/>
        <w:rPr>
          <w:rFonts w:ascii="宋体" w:hAnsi="宋体"/>
          <w:color w:val="000000"/>
          <w:szCs w:val="21"/>
          <w:highlight w:val="none"/>
        </w:rPr>
      </w:pPr>
      <w:r>
        <w:rPr>
          <w:rFonts w:ascii="宋体" w:hAnsi="宋体"/>
          <w:color w:val="000000"/>
          <w:szCs w:val="21"/>
          <w:highlight w:val="none"/>
        </w:rPr>
      </w:r>
      <w:r/>
    </w:p>
    <w:p>
      <w:pPr>
        <w:pStyle w:val="109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9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9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9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9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9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9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92"/>
        <w:jc w:val="center"/>
        <w:rPr>
          <w:rFonts w:ascii="宋体" w:hAnsi="宋体"/>
          <w:b/>
          <w:color w:val="000000"/>
          <w:sz w:val="32"/>
          <w:szCs w:val="32"/>
          <w:highlight w:val="none"/>
        </w:rPr>
      </w:pPr>
      <w:r>
        <w:rPr>
          <w:rFonts w:ascii="宋体" w:hAnsi="宋体"/>
          <w:b/>
          <w:color w:val="000000"/>
          <w:sz w:val="32"/>
          <w:szCs w:val="32"/>
          <w:highlight w:val="none"/>
        </w:rPr>
      </w:r>
      <w:r/>
    </w:p>
    <w:p>
      <w:pPr>
        <w:pStyle w:val="109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92"/>
        <w:rPr>
          <w:rFonts w:ascii="宋体" w:hAnsi="宋体"/>
          <w:b/>
          <w:color w:val="000000"/>
          <w:highlight w:val="none"/>
        </w:rPr>
      </w:pPr>
      <w:r>
        <w:rPr>
          <w:rFonts w:ascii="宋体" w:hAnsi="宋体"/>
          <w:b/>
          <w:color w:val="000000"/>
          <w:highlight w:val="none"/>
        </w:rPr>
      </w:r>
      <w:r/>
    </w:p>
    <w:p>
      <w:pPr>
        <w:pStyle w:val="109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9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9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9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6"/>
        <w:ind w:firstLine="480"/>
        <w:spacing w:line="460" w:lineRule="exact"/>
        <w:rPr>
          <w:rFonts w:hAnsi="宋体"/>
          <w:color w:val="000000"/>
          <w:highlight w:val="none"/>
        </w:rPr>
      </w:pP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6"/>
        <w:ind w:firstLine="480"/>
        <w:spacing w:line="460" w:lineRule="exact"/>
        <w:rPr>
          <w:rFonts w:hAnsi="宋体"/>
          <w:color w:val="000000"/>
          <w:highlight w:val="none"/>
        </w:rPr>
      </w:pP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6"/>
        <w:ind w:firstLine="480"/>
        <w:spacing w:line="460" w:lineRule="exact"/>
        <w:rPr>
          <w:rFonts w:hAnsi="宋体"/>
          <w:color w:val="000000"/>
          <w:highlight w:val="none"/>
        </w:rPr>
      </w:pPr>
      <w:r>
        <w:rPr>
          <w:rFonts w:hAnsi="宋体"/>
          <w:color w:val="000000"/>
          <w:highlight w:val="none"/>
        </w:rPr>
      </w:r>
      <w:r/>
    </w:p>
    <w:p>
      <w:pPr>
        <w:pStyle w:val="110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6"/>
        <w:ind w:firstLine="480"/>
        <w:spacing w:line="460" w:lineRule="exact"/>
        <w:rPr>
          <w:rFonts w:hAnsi="宋体"/>
          <w:color w:val="000000"/>
          <w:highlight w:val="none"/>
        </w:rPr>
      </w:pPr>
      <w:r>
        <w:rPr>
          <w:rFonts w:hAnsi="宋体"/>
          <w:color w:val="000000"/>
          <w:highlight w:val="none"/>
        </w:rPr>
      </w:r>
      <w:r/>
    </w:p>
    <w:p>
      <w:pPr>
        <w:pStyle w:val="1106"/>
        <w:ind w:firstLine="480"/>
        <w:spacing w:line="460" w:lineRule="exact"/>
        <w:rPr>
          <w:rFonts w:hAnsi="宋体"/>
          <w:color w:val="000000"/>
          <w:highlight w:val="none"/>
        </w:rPr>
      </w:pPr>
      <w:r>
        <w:rPr>
          <w:rFonts w:hAnsi="宋体"/>
          <w:color w:val="000000"/>
          <w:highlight w:val="none"/>
        </w:rPr>
      </w:r>
      <w:r/>
    </w:p>
    <w:p>
      <w:pPr>
        <w:pStyle w:val="110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9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92"/>
        <w:spacing w:line="360" w:lineRule="auto"/>
        <w:tabs>
          <w:tab w:val="left" w:pos="5580" w:leader="none"/>
        </w:tabs>
        <w:rPr>
          <w:rFonts w:ascii="宋体" w:hAnsi="宋体"/>
          <w:color w:val="000000"/>
          <w:sz w:val="24"/>
          <w:highlight w:val="none"/>
        </w:rPr>
        <w:sectPr>
          <w:headerReference w:type="default" r:id="rId1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9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9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92"/>
        <w:jc w:val="left"/>
        <w:widowControl/>
        <w:rPr>
          <w:rFonts w:ascii="宋体" w:hAnsi="宋体"/>
          <w:color w:val="000000"/>
          <w:sz w:val="24"/>
          <w:highlight w:val="none"/>
        </w:rPr>
      </w:pPr>
      <w:r>
        <w:rPr>
          <w:rFonts w:ascii="宋体" w:hAnsi="宋体"/>
          <w:color w:val="000000"/>
          <w:sz w:val="24"/>
          <w:highlight w:val="none"/>
        </w:rPr>
      </w:r>
      <w:r/>
    </w:p>
    <w:p>
      <w:pPr>
        <w:pStyle w:val="1092"/>
        <w:spacing w:line="360" w:lineRule="auto"/>
        <w:rPr>
          <w:rFonts w:ascii="宋体" w:hAnsi="宋体"/>
          <w:b/>
          <w:color w:val="000000"/>
          <w:sz w:val="24"/>
          <w:szCs w:val="20"/>
          <w:highlight w:val="none"/>
        </w:rPr>
        <w:outlineLvl w:val="2"/>
      </w:pPr>
      <w:r>
        <w:rPr>
          <w:rFonts w:ascii="宋体" w:hAnsi="宋体"/>
          <w:b/>
          <w:color w:val="000000"/>
          <w:sz w:val="24"/>
          <w:szCs w:val="20"/>
          <w:highlight w:val="none"/>
        </w:rPr>
      </w:r>
      <w:r/>
    </w:p>
    <w:p>
      <w:pPr>
        <w:pStyle w:val="1092"/>
        <w:spacing w:line="360" w:lineRule="auto"/>
        <w:rPr>
          <w:rFonts w:ascii="宋体" w:hAnsi="宋体"/>
          <w:b/>
          <w:color w:val="000000"/>
          <w:sz w:val="24"/>
          <w:szCs w:val="20"/>
          <w:highlight w:val="none"/>
        </w:rPr>
        <w:outlineLvl w:val="2"/>
      </w:pPr>
      <w:r>
        <w:rPr>
          <w:rFonts w:ascii="宋体" w:hAnsi="宋体"/>
          <w:b/>
          <w:color w:val="000000"/>
          <w:sz w:val="24"/>
          <w:szCs w:val="20"/>
          <w:highlight w:val="none"/>
        </w:rPr>
      </w:r>
      <w:r/>
    </w:p>
    <w:p>
      <w:pPr>
        <w:pStyle w:val="1092"/>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9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9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142311058"/>
      <w:r/>
      <w:bookmarkStart w:id="818" w:name="_Toc150480794"/>
      <w:r/>
      <w:bookmarkStart w:id="819" w:name="_Toc226965746"/>
      <w:r/>
      <w:bookmarkStart w:id="820" w:name="_Toc226965829"/>
      <w:r/>
      <w:bookmarkStart w:id="821" w:name="_Toc226309800"/>
      <w:r/>
      <w:bookmarkStart w:id="822" w:name="_Toc520356217"/>
      <w:r/>
      <w:bookmarkStart w:id="823" w:name="_Toc195842921"/>
      <w:r/>
      <w:bookmarkStart w:id="824" w:name="_Toc226337252"/>
      <w:r/>
      <w:bookmarkStart w:id="825" w:name="_Toc480942349"/>
      <w:r/>
      <w:bookmarkStart w:id="826" w:name="_Ref467988698"/>
      <w:r/>
      <w:bookmarkStart w:id="827" w:name="_Toc150774761"/>
      <w:r/>
      <w:bookmarkStart w:id="828" w:name="_Toc127151556"/>
      <w:r>
        <w:rPr>
          <w:rFonts w:hint="eastAsia" w:ascii="宋体" w:hAnsi="宋体"/>
          <w:b/>
          <w:color w:val="000000"/>
          <w:sz w:val="32"/>
          <w:szCs w:val="32"/>
          <w:highlight w:val="none"/>
        </w:rPr>
      </w:r>
      <w:r/>
    </w:p>
    <w:p>
      <w:pPr>
        <w:pStyle w:val="109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9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9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9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9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9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9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9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9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9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9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9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9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9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9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9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9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9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92"/>
        <w:jc w:val="left"/>
        <w:widowControl/>
        <w:rPr>
          <w:rFonts w:hint="eastAsia" w:ascii="宋体" w:hAnsi="宋体"/>
          <w:b/>
          <w:color w:val="000000"/>
          <w:sz w:val="24"/>
          <w:highlight w:val="none"/>
        </w:rPr>
      </w:pPr>
      <w:r/>
      <w:bookmarkStart w:id="829" w:name="_Hlt520356243"/>
      <w:r/>
      <w:bookmarkEnd w:id="829"/>
      <w:r/>
      <w:bookmarkStart w:id="830" w:name="_Hlt520355938"/>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09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9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9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92"/>
        <w:spacing w:line="560" w:lineRule="exact"/>
        <w:rPr>
          <w:rFonts w:ascii="宋体" w:hAnsi="宋体"/>
          <w:color w:val="000000"/>
          <w:sz w:val="24"/>
          <w:highlight w:val="none"/>
        </w:rPr>
      </w:pPr>
      <w:r>
        <w:rPr>
          <w:rFonts w:ascii="宋体" w:hAnsi="宋体"/>
          <w:color w:val="000000"/>
          <w:sz w:val="24"/>
          <w:highlight w:val="none"/>
        </w:rPr>
      </w:r>
      <w:r/>
    </w:p>
    <w:p>
      <w:pPr>
        <w:pStyle w:val="112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9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9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9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9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9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9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9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9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9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9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9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9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4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9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9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9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7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9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2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9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9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9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9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9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2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9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9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4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9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9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9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9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92"/>
        <w:ind w:firstLine="640"/>
        <w:rPr>
          <w:rFonts w:ascii="宋体" w:hAnsi="宋体"/>
          <w:color w:val="000000"/>
          <w:highlight w:val="none"/>
        </w:rPr>
      </w:pPr>
      <w:r>
        <w:rPr>
          <w:rFonts w:ascii="宋体" w:hAnsi="宋体"/>
          <w:color w:val="000000"/>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9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ascii="宋体" w:hAnsi="宋体"/>
          <w:b/>
          <w:color w:val="000000"/>
          <w:sz w:val="24"/>
          <w:szCs w:val="20"/>
          <w:highlight w:val="none"/>
        </w:rPr>
        <w:outlineLvl w:val="2"/>
      </w:pPr>
      <w:r/>
      <w:bookmarkStart w:id="831" w:name="_Hlt520273711"/>
      <w:r/>
      <w:bookmarkEnd w:id="831"/>
      <w:r/>
      <w:bookmarkStart w:id="832" w:name="_Hlt520274407"/>
      <w:r/>
      <w:bookmarkEnd w:id="832"/>
      <w:r/>
      <w:bookmarkStart w:id="833" w:name="_Hlt520355504"/>
      <w:r/>
      <w:bookmarkEnd w:id="833"/>
      <w:r/>
      <w:bookmarkStart w:id="834" w:name="_Hlt520343392"/>
      <w:r/>
      <w:bookmarkEnd w:id="834"/>
      <w:r/>
      <w:bookmarkStart w:id="835" w:name="_Hlt520274393"/>
      <w:r/>
      <w:bookmarkEnd w:id="835"/>
      <w:r/>
      <w:bookmarkStart w:id="836" w:name="_Hlt520350918"/>
      <w:r/>
      <w:bookmarkEnd w:id="836"/>
      <w:r/>
      <w:bookmarkStart w:id="837" w:name="_Hlt520271212"/>
      <w:r/>
      <w:bookmarkEnd w:id="837"/>
      <w:r/>
      <w:bookmarkStart w:id="838" w:name="_Hlt520274065"/>
      <w:r/>
      <w:bookmarkEnd w:id="838"/>
      <w:r/>
      <w:bookmarkStart w:id="839" w:name="_Hlt520274121"/>
      <w:r/>
      <w:bookmarkEnd w:id="839"/>
      <w:r/>
      <w:bookmarkStart w:id="840" w:name="_Hlt520343000"/>
      <w:r/>
      <w:bookmarkEnd w:id="840"/>
      <w:r/>
      <w:bookmarkStart w:id="841" w:name="_Toc480942350"/>
      <w:r/>
      <w:bookmarkStart w:id="842" w:name="_Toc127151557"/>
      <w:r/>
      <w:bookmarkStart w:id="843" w:name="_Toc150480795"/>
      <w:r/>
      <w:bookmarkStart w:id="844" w:name="_Toc226965747"/>
      <w:r/>
      <w:bookmarkStart w:id="845" w:name="_Toc265228395"/>
      <w:r/>
      <w:bookmarkStart w:id="846" w:name="_Toc305158899"/>
      <w:r/>
      <w:bookmarkStart w:id="847" w:name="_Toc150774762"/>
      <w:r/>
      <w:bookmarkStart w:id="848" w:name="_Toc520356218"/>
      <w:r/>
      <w:bookmarkStart w:id="849" w:name="_Toc142311059"/>
      <w:r/>
      <w:bookmarkStart w:id="850" w:name="_Toc226309801"/>
      <w:r/>
      <w:bookmarkStart w:id="851" w:name="_Ref467988705"/>
      <w:r/>
      <w:bookmarkStart w:id="852" w:name="_Toc226337253"/>
      <w:r/>
      <w:bookmarkStart w:id="853" w:name="_Toc305158825"/>
      <w:r/>
      <w:bookmarkStart w:id="854" w:name="_Toc264969247"/>
      <w:r/>
      <w:bookmarkStart w:id="855" w:name="_Toc195842922"/>
      <w:r/>
      <w:bookmarkStart w:id="856"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92"/>
        <w:jc w:val="center"/>
        <w:spacing w:line="360" w:lineRule="exact"/>
        <w:rPr>
          <w:rFonts w:ascii="宋体" w:hAnsi="宋体"/>
          <w:b/>
          <w:color w:val="000000"/>
          <w:sz w:val="36"/>
          <w:szCs w:val="36"/>
          <w:highlight w:val="none"/>
        </w:rPr>
      </w:pPr>
      <w:r/>
      <w:bookmarkStart w:id="857" w:name="_Toc195842923"/>
      <w:r/>
      <w:bookmarkStart w:id="858" w:name="_Toc226965831"/>
      <w:r/>
      <w:bookmarkStart w:id="859" w:name="_Toc226337254"/>
      <w:r/>
      <w:bookmarkStart w:id="860" w:name="_Toc265228396"/>
      <w:r/>
      <w:bookmarkStart w:id="861" w:name="_Toc305158826"/>
      <w:r/>
      <w:bookmarkStart w:id="862" w:name="_Toc164608827"/>
      <w:r/>
      <w:bookmarkStart w:id="863" w:name="_Toc164608672"/>
      <w:r/>
      <w:bookmarkStart w:id="864" w:name="_Toc305158900"/>
      <w:r/>
      <w:bookmarkStart w:id="865" w:name="_Toc264969248"/>
      <w:r/>
      <w:bookmarkStart w:id="866" w:name="_Toc226965748"/>
      <w:r/>
      <w:bookmarkStart w:id="867" w:name="_Toc226309802"/>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9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9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9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9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9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9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9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9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9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9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9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9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9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92"/>
        <w:jc w:val="left"/>
        <w:rPr>
          <w:rFonts w:ascii="宋体" w:hAnsi="宋体"/>
          <w:color w:val="000000"/>
          <w:sz w:val="24"/>
          <w:highlight w:val="none"/>
        </w:rPr>
      </w:pPr>
      <w:r>
        <w:rPr>
          <w:rFonts w:ascii="宋体" w:hAnsi="宋体"/>
          <w:color w:val="000000"/>
          <w:sz w:val="24"/>
          <w:highlight w:val="none"/>
        </w:rPr>
      </w:r>
      <w:r/>
    </w:p>
    <w:p>
      <w:pPr>
        <w:pStyle w:val="109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92"/>
        <w:ind w:firstLine="480"/>
        <w:tabs>
          <w:tab w:val="left" w:pos="5580" w:leader="none"/>
        </w:tabs>
        <w:rPr>
          <w:rFonts w:ascii="宋体" w:hAnsi="宋体" w:eastAsia="宋体"/>
          <w:color w:val="000000"/>
          <w:sz w:val="24"/>
          <w:szCs w:val="20"/>
          <w:highlight w:val="none"/>
          <w:lang w:val="en-US" w:eastAsia="zh-CN"/>
        </w:rPr>
      </w:pPr>
      <w:r>
        <w:rPr>
          <w:rFonts w:hint="eastAsia" w:ascii="宋体" w:hAnsi="宋体"/>
          <w:color w:val="000000"/>
          <w:sz w:val="24"/>
          <w:szCs w:val="20"/>
          <w:highlight w:val="none"/>
          <w:lang w:val="en-US" w:eastAsia="zh-CN"/>
        </w:rPr>
        <w:t xml:space="preserve">2.投标报价为年度（12个月）报价。</w:t>
      </w:r>
      <w:r>
        <w:rPr>
          <w:rFonts w:ascii="宋体" w:hAnsi="宋体" w:eastAsia="宋体"/>
          <w:color w:val="000000"/>
          <w:sz w:val="24"/>
          <w:szCs w:val="20"/>
          <w:highlight w:val="none"/>
          <w:lang w:val="en-US" w:eastAsia="zh-CN"/>
        </w:rPr>
      </w:r>
      <w:r/>
    </w:p>
    <w:p>
      <w:pPr>
        <w:pStyle w:val="1092"/>
        <w:ind w:firstLine="480"/>
        <w:tabs>
          <w:tab w:val="left" w:pos="5580" w:leader="none"/>
        </w:tabs>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3</w:t>
      </w:r>
      <w:r>
        <w:rPr>
          <w:rFonts w:ascii="宋体" w:hAnsi="宋体"/>
          <w:color w:val="000000"/>
          <w:sz w:val="24"/>
          <w:szCs w:val="20"/>
          <w:highlight w:val="none"/>
        </w:rPr>
        <w:t xml:space="preserve">.本表必须按包分别填写。</w:t>
      </w:r>
      <w:r>
        <w:rPr>
          <w:rFonts w:ascii="宋体" w:hAnsi="宋体"/>
          <w:color w:val="000000"/>
          <w:sz w:val="24"/>
          <w:szCs w:val="20"/>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ascii="宋体" w:hAnsi="宋体"/>
          <w:b/>
          <w:color w:val="000000"/>
          <w:sz w:val="24"/>
          <w:szCs w:val="20"/>
          <w:highlight w:val="none"/>
        </w:rPr>
        <w:outlineLvl w:val="2"/>
      </w:pPr>
      <w:r/>
      <w:bookmarkStart w:id="868" w:name="_Toc305158901"/>
      <w:r/>
      <w:bookmarkStart w:id="869" w:name="_Toc226309803"/>
      <w:r/>
      <w:bookmarkStart w:id="870" w:name="_Toc150774763"/>
      <w:r/>
      <w:bookmarkStart w:id="871" w:name="_Toc226965749"/>
      <w:r/>
      <w:bookmarkStart w:id="872" w:name="_Toc142311060"/>
      <w:r/>
      <w:bookmarkStart w:id="873" w:name="_Toc226337255"/>
      <w:r/>
      <w:bookmarkStart w:id="874" w:name="_Toc127151558"/>
      <w:r/>
      <w:bookmarkStart w:id="875" w:name="_Toc195842924"/>
      <w:r/>
      <w:bookmarkStart w:id="876" w:name="_Toc150480796"/>
      <w:r/>
      <w:bookmarkStart w:id="877" w:name="_Toc264969249"/>
      <w:r/>
      <w:bookmarkStart w:id="878" w:name="_Toc265228397"/>
      <w:r/>
      <w:bookmarkStart w:id="879" w:name="_Toc226965832"/>
      <w:r/>
      <w:bookmarkStart w:id="880" w:name="_Toc305158827"/>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9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9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9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9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086"/>
        <w:gridCol w:w="1870"/>
        <w:gridCol w:w="1042"/>
        <w:gridCol w:w="992"/>
        <w:gridCol w:w="919"/>
        <w:gridCol w:w="1072"/>
      </w:tblGrid>
      <w:tr>
        <w:trPr>
          <w:cantSplit/>
          <w:trHeight w:val="285"/>
        </w:trPr>
        <w:tc>
          <w:tcPr>
            <w:tcW w:w="669" w:type="dxa"/>
            <w:vAlign w:val="center"/>
            <w:vMerge w:val="restart"/>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2086" w:type="dxa"/>
            <w:vAlign w:val="center"/>
            <w:vMerge w:val="restart"/>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1870" w:type="dxa"/>
            <w:vAlign w:val="center"/>
            <w:vMerge w:val="restart"/>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92"/>
              <w:jc w:val="left"/>
              <w:widowControl/>
              <w:rPr>
                <w:rFonts w:ascii="宋体" w:hAnsi="宋体" w:cs="Arial"/>
                <w:color w:val="000000"/>
                <w:sz w:val="24"/>
                <w:highlight w:val="none"/>
              </w:rPr>
            </w:pPr>
            <w:r>
              <w:rPr>
                <w:rFonts w:ascii="宋体" w:hAnsi="宋体" w:cs="Arial"/>
                <w:color w:val="000000"/>
                <w:sz w:val="24"/>
                <w:highlight w:val="none"/>
              </w:rPr>
            </w:r>
            <w:r/>
          </w:p>
        </w:tc>
        <w:tc>
          <w:tcPr>
            <w:tcW w:w="2086" w:type="dxa"/>
            <w:vAlign w:val="center"/>
            <w:vMerge w:val="continue"/>
            <w:textDirection w:val="lrTb"/>
            <w:noWrap w:val="false"/>
          </w:tcPr>
          <w:p>
            <w:pPr>
              <w:pStyle w:val="1092"/>
              <w:jc w:val="left"/>
              <w:widowControl/>
              <w:rPr>
                <w:rFonts w:ascii="宋体" w:hAnsi="宋体" w:cs="Arial"/>
                <w:color w:val="000000"/>
                <w:sz w:val="24"/>
                <w:highlight w:val="none"/>
              </w:rPr>
            </w:pPr>
            <w:r>
              <w:rPr>
                <w:rFonts w:ascii="宋体" w:hAnsi="宋体" w:cs="Arial"/>
                <w:color w:val="000000"/>
                <w:sz w:val="24"/>
                <w:highlight w:val="none"/>
              </w:rPr>
            </w:r>
            <w:r/>
          </w:p>
        </w:tc>
        <w:tc>
          <w:tcPr>
            <w:tcW w:w="1870" w:type="dxa"/>
            <w:vAlign w:val="center"/>
            <w:vMerge w:val="continue"/>
            <w:textDirection w:val="lrTb"/>
            <w:noWrap w:val="false"/>
          </w:tcPr>
          <w:p>
            <w:pPr>
              <w:pStyle w:val="1092"/>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092"/>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09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w:t>
            </w:r>
            <w:r>
              <w:rPr>
                <w:rFonts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全自动摆药机售后服务费</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项</w:t>
            </w: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w:t>
            </w:r>
            <w:r>
              <w:rPr>
                <w:rFonts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飞利浦BVC臂机</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3</w:t>
            </w:r>
            <w:r>
              <w:rPr>
                <w:rFonts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DSA/Allura Xper FD20</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4</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磁共振/Multiva 1.5T 16 R5</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5</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联影CT</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6</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GE64排CT</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7</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联影/uCT528</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8</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奥林巴斯胃肠镜及胆道镜：</w:t>
            </w:r>
            <w:r>
              <w:rPr>
                <w:rFonts w:hint="eastAsia" w:ascii="仿宋" w:hAnsi="仿宋" w:eastAsia="仿宋" w:cs="仿宋"/>
                <w:i w:val="0"/>
                <w:iCs w:val="0"/>
                <w:color w:val="000000"/>
                <w:sz w:val="24"/>
                <w:szCs w:val="24"/>
                <w:u w:val="none"/>
                <w:lang w:val="en-US" w:eastAsia="zh-CN" w:bidi="ar"/>
              </w:rPr>
              <w:br w:type="textWrapping" w:clear="all"/>
            </w:r>
            <w:r>
              <w:rPr>
                <w:rStyle w:val="1346"/>
                <w:lang w:val="en-US" w:eastAsia="zh-CN" w:bidi="ar"/>
              </w:rPr>
              <w:t xml:space="preserve">CHF TYPE V:电子胆道镜</w:t>
            </w:r>
            <w:r>
              <w:rPr>
                <w:rStyle w:val="1346"/>
                <w:lang w:val="en-US" w:eastAsia="zh-CN" w:bidi="ar"/>
              </w:rPr>
              <w:br w:type="textWrapping" w:clear="all"/>
            </w:r>
            <w:r>
              <w:rPr>
                <w:rStyle w:val="1346"/>
                <w:lang w:val="en-US" w:eastAsia="zh-CN" w:bidi="ar"/>
              </w:rPr>
              <w:t xml:space="preserve">GIF-HQ290:电子上消化道内窥镜</w:t>
            </w:r>
            <w:r>
              <w:rPr>
                <w:rStyle w:val="1346"/>
                <w:lang w:val="en-US" w:eastAsia="zh-CN" w:bidi="ar"/>
              </w:rPr>
              <w:br w:type="textWrapping" w:clear="all"/>
            </w:r>
            <w:r>
              <w:rPr>
                <w:rStyle w:val="1346"/>
                <w:lang w:val="en-US" w:eastAsia="zh-CN" w:bidi="ar"/>
              </w:rPr>
              <w:t xml:space="preserve">CF-H290I:电子结肠内窥镜</w:t>
            </w:r>
            <w:r>
              <w:rPr>
                <w:rStyle w:val="1346"/>
                <w:lang w:val="en-US" w:eastAsia="zh-CN" w:bidi="ar"/>
              </w:rPr>
              <w:br w:type="textWrapping" w:clear="all"/>
            </w:r>
            <w:r>
              <w:rPr>
                <w:rStyle w:val="1346"/>
                <w:lang w:val="en-US" w:eastAsia="zh-CN" w:bidi="ar"/>
              </w:rPr>
              <w:t xml:space="preserve">GIF TYPE H260Z:电子上消化道内窥镜</w:t>
            </w:r>
            <w:r>
              <w:rPr>
                <w:rStyle w:val="1346"/>
                <w:lang w:val="en-US" w:eastAsia="zh-CN" w:bidi="ar"/>
              </w:rPr>
              <w:br w:type="textWrapping" w:clear="all"/>
            </w:r>
            <w:r>
              <w:rPr>
                <w:rStyle w:val="1346"/>
                <w:lang w:val="en-US" w:eastAsia="zh-CN" w:bidi="ar"/>
              </w:rPr>
              <w:t xml:space="preserve">ENF-VT2：电子鼻咽喉镜</w:t>
            </w:r>
            <w:r>
              <w:rPr>
                <w:rStyle w:val="1346"/>
                <w:lang w:val="en-US" w:eastAsia="zh-CN" w:bidi="ar"/>
              </w:rPr>
              <w:br w:type="textWrapping" w:clear="all"/>
            </w:r>
            <w:r>
              <w:rPr>
                <w:rStyle w:val="1346"/>
                <w:lang w:val="en-US" w:eastAsia="zh-CN" w:bidi="ar"/>
              </w:rPr>
              <w:t xml:space="preserve">ENF-VT2：电子鼻咽喉镜</w:t>
            </w:r>
            <w:r>
              <w:rPr>
                <w:rStyle w:val="1346"/>
                <w:lang w:val="en-US" w:eastAsia="zh-CN" w:bidi="ar"/>
              </w:rPr>
              <w:br w:type="textWrapping" w:clear="all"/>
            </w:r>
            <w:r>
              <w:rPr>
                <w:rStyle w:val="1346"/>
                <w:lang w:val="en-US" w:eastAsia="zh-CN" w:bidi="ar"/>
              </w:rPr>
              <w:t xml:space="preserve">CLV-290SL:内窥镜冷光源</w:t>
            </w:r>
            <w:r>
              <w:rPr>
                <w:rStyle w:val="1346"/>
                <w:lang w:val="en-US" w:eastAsia="zh-CN" w:bidi="ar"/>
              </w:rPr>
              <w:br w:type="textWrapping" w:clear="all"/>
            </w:r>
            <w:r>
              <w:rPr>
                <w:rStyle w:val="1346"/>
                <w:lang w:val="en-US" w:eastAsia="zh-CN" w:bidi="ar"/>
              </w:rPr>
              <w:t xml:space="preserve">CV-290:图像处理装置</w:t>
            </w:r>
            <w:r>
              <w:rPr>
                <w:rStyle w:val="1346"/>
                <w:lang w:val="en-US" w:eastAsia="zh-CN" w:bidi="ar"/>
              </w:rPr>
              <w:br w:type="textWrapping" w:clear="all"/>
            </w:r>
            <w:r>
              <w:rPr>
                <w:rStyle w:val="1346"/>
                <w:lang w:val="en-US" w:eastAsia="zh-CN" w:bidi="ar"/>
              </w:rPr>
              <w:t xml:space="preserve">富士内镜：</w:t>
            </w:r>
            <w:r>
              <w:rPr>
                <w:rStyle w:val="1346"/>
                <w:lang w:val="en-US" w:eastAsia="zh-CN" w:bidi="ar"/>
              </w:rPr>
              <w:br w:type="textWrapping" w:clear="all"/>
            </w:r>
            <w:r>
              <w:rPr>
                <w:rStyle w:val="1346"/>
                <w:lang w:val="en-US" w:eastAsia="zh-CN" w:bidi="ar"/>
              </w:rPr>
              <w:t xml:space="preserve">主机（VP-7000）</w:t>
            </w:r>
            <w:r>
              <w:rPr>
                <w:rStyle w:val="1346"/>
                <w:lang w:val="en-US" w:eastAsia="zh-CN" w:bidi="ar"/>
              </w:rPr>
              <w:br w:type="textWrapping" w:clear="all"/>
            </w:r>
            <w:r>
              <w:rPr>
                <w:rStyle w:val="1346"/>
                <w:lang w:val="en-US" w:eastAsia="zh-CN" w:bidi="ar"/>
              </w:rPr>
              <w:t xml:space="preserve">光源（BL-7000）</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内镜（EG-760R-V/M）</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9</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富士内镜：</w:t>
            </w:r>
            <w:r>
              <w:rPr>
                <w:rFonts w:hint="eastAsia" w:ascii="仿宋" w:hAnsi="仿宋" w:eastAsia="仿宋" w:cs="仿宋"/>
                <w:i w:val="0"/>
                <w:iCs w:val="0"/>
                <w:color w:val="000000"/>
                <w:sz w:val="24"/>
                <w:szCs w:val="24"/>
                <w:u w:val="none"/>
                <w:lang w:val="en-US" w:eastAsia="zh-CN" w:bidi="ar"/>
              </w:rPr>
              <w:br w:type="textWrapping" w:clear="all"/>
            </w:r>
            <w:r>
              <w:rPr>
                <w:rStyle w:val="1346"/>
                <w:lang w:val="en-US" w:eastAsia="zh-CN" w:bidi="ar"/>
              </w:rPr>
              <w:t xml:space="preserve">主机（VP-7000）</w:t>
            </w:r>
            <w:r>
              <w:rPr>
                <w:rStyle w:val="1346"/>
                <w:lang w:val="en-US" w:eastAsia="zh-CN" w:bidi="ar"/>
              </w:rPr>
              <w:br w:type="textWrapping" w:clear="all"/>
            </w:r>
            <w:r>
              <w:rPr>
                <w:rStyle w:val="1346"/>
                <w:lang w:val="en-US" w:eastAsia="zh-CN" w:bidi="ar"/>
              </w:rPr>
              <w:t xml:space="preserve">光源（BL-7000）</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w:t>
            </w:r>
            <w:r>
              <w:rPr>
                <w:rStyle w:val="1346"/>
                <w:lang w:val="en-US" w:eastAsia="zh-CN" w:bidi="ar"/>
              </w:rPr>
              <w:br w:type="textWrapping" w:clear="all"/>
            </w:r>
            <w:r>
              <w:rPr>
                <w:rStyle w:val="1346"/>
                <w:lang w:val="en-US" w:eastAsia="zh-CN" w:bidi="ar"/>
              </w:rPr>
              <w:t xml:space="preserve">内镜（EG-760R-V/M）</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10</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电子上消化道内窥镜（放大）日本富士EG-760Z</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11</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电子上消化道内窥镜（治疗）日本富士EG-760CT</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12</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电子结肠镜（富士EC-760R-V/M）</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13</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VOLUSON E10彩超（GE）</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14</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VOLUSON S6彩超（GE）</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15</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VOLUSON S6彩超(GE)</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16</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IU22彩超（飞利浦）</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17</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CV580彩超（飞利浦）</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18</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CV580彩超（飞利浦）</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19</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EPIQ 7C彩超（飞利浦）</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20</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Affiniti 70（飞利浦）</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21</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GE台式彩超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（Versana balance s）</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22</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GE便携式彩超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（Versana active）</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23</w:t>
            </w:r>
            <w:r>
              <w:rPr>
                <w:rFonts w:hint="eastAsia"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GE心脏彩超（Vivid iq）</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24</w:t>
            </w:r>
            <w:r>
              <w:rPr>
                <w:rFonts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低温等离子体灭菌器（强生STERRAD 100S）</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62"/>
        </w:trPr>
        <w:tc>
          <w:tcPr>
            <w:tcW w:w="669"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25</w:t>
            </w:r>
            <w:r>
              <w:rPr>
                <w:rFonts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联影DR（急诊）</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套</w:t>
            </w:r>
            <w:r>
              <w:rPr>
                <w:rFonts w:ascii="宋体" w:hAnsi="宋体" w:cs="Arial"/>
                <w:color w:val="000000"/>
                <w:sz w:val="24"/>
                <w:highlight w:val="none"/>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hint="eastAsia" w:ascii="仿宋" w:hAnsi="仿宋" w:eastAsia="仿宋" w:cs="仿宋"/>
                <w:b/>
                <w:bCs/>
                <w:i w:val="0"/>
                <w:iCs w:val="0"/>
                <w:color w:val="000000"/>
                <w:sz w:val="24"/>
                <w:szCs w:val="24"/>
                <w:u w:val="none"/>
                <w:lang w:val="en-US" w:eastAsia="zh-CN" w:bidi="ar"/>
              </w:rPr>
              <w:t xml:space="preserve">26</w:t>
            </w:r>
            <w:r>
              <w:rPr>
                <w:rFonts w:ascii="宋体" w:hAnsi="宋体" w:cs="Arial"/>
                <w:color w:val="000000"/>
                <w:sz w:val="24"/>
                <w:highlight w:val="none"/>
              </w:rPr>
            </w:r>
            <w:r/>
          </w:p>
        </w:tc>
        <w:tc>
          <w:tcPr>
            <w:tcW w:w="2086" w:type="dxa"/>
            <w:vAlign w:val="center"/>
            <w:textDirection w:val="lrTb"/>
            <w:noWrap w:val="false"/>
          </w:tcPr>
          <w:p>
            <w:pPr>
              <w:pStyle w:val="1092"/>
              <w:jc w:val="left"/>
              <w:keepLines w:val="0"/>
              <w:keepNext w:val="0"/>
              <w:widowControl/>
              <w:rPr>
                <w:rFonts w:ascii="宋体" w:hAnsi="宋体" w:cs="Arial"/>
                <w:b/>
                <w:bCs/>
                <w:color w:val="000000"/>
                <w:sz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联影DR（门诊）</w:t>
            </w:r>
            <w:r>
              <w:rPr>
                <w:rFonts w:ascii="宋体" w:hAnsi="宋体" w:cs="Arial"/>
                <w:b/>
                <w:bCs/>
                <w:color w:val="000000"/>
                <w:sz w:val="24"/>
                <w:highlight w:val="none"/>
              </w:rPr>
            </w:r>
            <w:r/>
          </w:p>
        </w:tc>
        <w:tc>
          <w:tcPr>
            <w:tcW w:w="1870"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套</w:t>
            </w: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2"/>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27</w:t>
            </w:r>
            <w:r>
              <w:rPr>
                <w:rFonts w:hint="eastAsia" w:ascii="仿宋" w:hAnsi="仿宋" w:eastAsia="仿宋" w:cs="仿宋"/>
                <w:b/>
                <w:bCs/>
                <w:i w:val="0"/>
                <w:iCs w:val="0"/>
                <w:color w:val="000000"/>
                <w:sz w:val="24"/>
                <w:szCs w:val="24"/>
                <w:u w:val="none"/>
                <w:lang w:val="en-US" w:eastAsia="zh-CN" w:bidi="ar"/>
              </w:rPr>
            </w:r>
            <w:r/>
          </w:p>
        </w:tc>
        <w:tc>
          <w:tcPr>
            <w:tcW w:w="2086" w:type="dxa"/>
            <w:vAlign w:val="center"/>
            <w:textDirection w:val="lrTb"/>
            <w:noWrap w:val="false"/>
          </w:tcPr>
          <w:p>
            <w:pPr>
              <w:pStyle w:val="1092"/>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其他设备（</w:t>
            </w:r>
            <w:r>
              <w:rPr>
                <w:rFonts w:hint="eastAsia" w:ascii="仿宋" w:hAnsi="仿宋" w:eastAsia="仿宋" w:cs="仿宋"/>
                <w:i w:val="0"/>
                <w:iCs w:val="0"/>
                <w:color w:val="000000"/>
                <w:sz w:val="24"/>
                <w:szCs w:val="24"/>
                <w:u w:val="none"/>
                <w:lang w:val="en-US" w:eastAsia="zh-CN"/>
              </w:rPr>
              <w:t xml:space="preserve">包含全院</w:t>
            </w:r>
            <w:r>
              <w:rPr>
                <w:rFonts w:hint="eastAsia" w:ascii="仿宋" w:hAnsi="仿宋" w:eastAsia="仿宋" w:cs="仿宋"/>
                <w:i w:val="0"/>
                <w:iCs w:val="0"/>
                <w:color w:val="000000"/>
                <w:sz w:val="24"/>
                <w:szCs w:val="24"/>
                <w:u w:val="none"/>
              </w:rPr>
              <w:t xml:space="preserve">影像诊断设备类、检验化验设备类、急救设备类、手术室设备类、康复理疗物理治疗类、消毒灭菌及供应室设备类、病房护理及普通医用设备类、专科专用设备、制冷恒温及医用辅助设备</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lang w:val="en-US" w:eastAsia="zh-CN"/>
              </w:rPr>
              <w:t xml:space="preserve">不含上述1-26项清单设备</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lang w:val="en-US" w:eastAsia="zh-CN"/>
              </w:rPr>
              <w:t xml:space="preserve">约2000余项</w:t>
            </w:r>
            <w:r>
              <w:rPr>
                <w:rFonts w:hint="eastAsia" w:ascii="仿宋" w:hAnsi="仿宋" w:eastAsia="仿宋" w:cs="仿宋"/>
                <w:b/>
                <w:bCs/>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c>
          <w:tcPr>
            <w:tcW w:w="1870" w:type="dxa"/>
            <w:vAlign w:val="center"/>
            <w:textDirection w:val="lrTb"/>
            <w:noWrap w:val="false"/>
          </w:tcPr>
          <w:p>
            <w:pPr>
              <w:pStyle w:val="1092"/>
              <w:jc w:val="center"/>
              <w:keepLines w:val="0"/>
              <w:keepNext w:val="0"/>
              <w:widowControl/>
              <w:rPr>
                <w:rFonts w:ascii="宋体" w:hAnsi="宋体" w:cs="Arial"/>
                <w:color w:val="000000"/>
                <w:sz w:val="24"/>
                <w:highlight w:val="none"/>
              </w:rPr>
              <w:suppressLineNumbers w:val="0"/>
            </w:pPr>
            <w:r>
              <w:rPr>
                <w:rFonts w:ascii="宋体" w:hAnsi="宋体" w:cs="Arial"/>
                <w:color w:val="000000"/>
                <w:sz w:val="24"/>
                <w:highlight w:val="none"/>
              </w:rPr>
            </w:r>
            <w:r/>
          </w:p>
        </w:tc>
        <w:tc>
          <w:tcPr>
            <w:tcW w:w="104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992" w:type="dxa"/>
            <w:vAlign w:val="center"/>
            <w:textDirection w:val="lrTb"/>
            <w:noWrap w:val="false"/>
          </w:tcPr>
          <w:p>
            <w:pPr>
              <w:pStyle w:val="1092"/>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批</w:t>
            </w: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仿宋" w:hAnsi="仿宋" w:eastAsia="仿宋" w:cs="仿宋"/>
                <w:b/>
                <w:bCs/>
                <w:i w:val="0"/>
                <w:iCs w:val="0"/>
                <w:color w:val="000000"/>
                <w:sz w:val="24"/>
                <w:szCs w:val="24"/>
                <w:u w:val="none"/>
                <w:lang w:val="en-US" w:eastAsia="zh-CN" w:bidi="ar"/>
              </w:rPr>
              <w:t xml:space="preserve">总计：</w:t>
            </w:r>
            <w:r>
              <w:rPr>
                <w:rFonts w:ascii="宋体" w:hAnsi="宋体" w:cs="Arial"/>
                <w:color w:val="000000"/>
                <w:sz w:val="24"/>
                <w:highlight w:val="none"/>
              </w:rPr>
            </w:r>
            <w:r/>
          </w:p>
        </w:tc>
        <w:tc>
          <w:tcPr>
            <w:gridSpan w:val="4"/>
            <w:tcW w:w="4025" w:type="dxa"/>
            <w:vAlign w:val="center"/>
            <w:textDirection w:val="lrTb"/>
            <w:noWrap w:val="false"/>
          </w:tcPr>
          <w:p>
            <w:pPr>
              <w:pStyle w:val="1092"/>
              <w:jc w:val="center"/>
              <w:spacing w:line="360" w:lineRule="auto"/>
              <w:widowControl/>
              <w:rPr>
                <w:rFonts w:ascii="宋体" w:hAnsi="宋体" w:cs="Arial"/>
                <w:color w:val="000000"/>
                <w:sz w:val="24"/>
                <w:highlight w:val="none"/>
              </w:rPr>
            </w:pPr>
            <w:r>
              <w:rPr>
                <w:rFonts w:hint="eastAsia" w:ascii="仿宋" w:hAnsi="仿宋" w:eastAsia="仿宋" w:cs="仿宋"/>
                <w:b/>
                <w:bCs/>
                <w:i w:val="0"/>
                <w:iCs w:val="0"/>
                <w:color w:val="000000"/>
                <w:sz w:val="24"/>
                <w:szCs w:val="24"/>
                <w:u w:val="none"/>
                <w:lang w:val="en-US" w:eastAsia="zh-CN" w:bidi="ar"/>
              </w:rPr>
              <w:t xml:space="preserve">万元/年</w:t>
            </w:r>
            <w:r>
              <w:rPr>
                <w:rFonts w:ascii="宋体" w:hAnsi="宋体" w:cs="Arial"/>
                <w:color w:val="000000"/>
                <w:sz w:val="24"/>
                <w:highlight w:val="none"/>
              </w:rPr>
            </w:r>
            <w:r/>
          </w:p>
        </w:tc>
      </w:tr>
      <w:tr>
        <w:trPr>
          <w:trHeight w:val="480"/>
        </w:trPr>
        <w:tc>
          <w:tcPr>
            <w:gridSpan w:val="7"/>
            <w:tcW w:w="8650" w:type="dxa"/>
            <w:vAlign w:val="center"/>
            <w:textDirection w:val="lrTb"/>
            <w:noWrap w:val="false"/>
          </w:tcPr>
          <w:p>
            <w:pPr>
              <w:pStyle w:val="1092"/>
              <w:jc w:val="left"/>
              <w:spacing w:line="360" w:lineRule="auto"/>
              <w:widowControl/>
              <w:rPr>
                <w:rFonts w:hint="eastAsia" w:ascii="仿宋" w:hAnsi="仿宋" w:eastAsia="仿宋" w:cs="仿宋"/>
                <w:b/>
                <w:bCs/>
                <w:i w:val="0"/>
                <w:iCs w:val="0"/>
                <w:color w:val="000000"/>
                <w:sz w:val="24"/>
                <w:szCs w:val="24"/>
                <w:u w:val="none"/>
                <w:lang w:val="en-US" w:eastAsia="zh-CN" w:bidi="ar"/>
              </w:rPr>
            </w:pPr>
            <w:r/>
            <w:bookmarkStart w:id="881" w:name="_Toc142311062"/>
            <w:r/>
            <w:bookmarkStart w:id="882" w:name="_Toc226965752"/>
            <w:r/>
            <w:bookmarkStart w:id="883" w:name="_Toc226337258"/>
            <w:r/>
            <w:bookmarkStart w:id="884" w:name="_Toc195842927"/>
            <w:r/>
            <w:bookmarkStart w:id="885" w:name="_Toc150480798"/>
            <w:r/>
            <w:bookmarkStart w:id="886" w:name="_Toc264969252"/>
            <w:r/>
            <w:bookmarkStart w:id="887" w:name="_Toc305158830"/>
            <w:r/>
            <w:bookmarkStart w:id="888" w:name="_Toc226309806"/>
            <w:r/>
            <w:bookmarkStart w:id="889" w:name="_Toc127151562"/>
            <w:r/>
            <w:bookmarkStart w:id="890" w:name="_Toc150774765"/>
            <w:r/>
            <w:bookmarkStart w:id="891" w:name="_Toc265228400"/>
            <w:r/>
            <w:bookmarkStart w:id="892" w:name="_Toc305158904"/>
            <w:r/>
            <w:bookmarkStart w:id="893" w:name="_Toc226965835"/>
            <w:r/>
            <w:bookmarkStart w:id="894" w:name="_Toc305158829"/>
            <w:r/>
            <w:bookmarkStart w:id="895" w:name="_Toc305158903"/>
            <w:r/>
            <w:bookmarkStart w:id="896" w:name="_Toc265228399"/>
            <w:r/>
            <w:bookmarkStart w:id="897" w:name="_Toc150774764"/>
            <w:r/>
            <w:bookmarkStart w:id="898" w:name="_Toc226309805"/>
            <w:r/>
            <w:bookmarkStart w:id="899" w:name="_Toc226965834"/>
            <w:r/>
            <w:bookmarkStart w:id="900" w:name="_Toc195842926"/>
            <w:r/>
            <w:bookmarkStart w:id="901" w:name="_Toc264969251"/>
            <w:r/>
            <w:bookmarkStart w:id="902" w:name="_Toc150480797"/>
            <w:r/>
            <w:bookmarkStart w:id="903" w:name="_Toc142311061"/>
            <w:r/>
            <w:bookmarkStart w:id="904" w:name="_Toc127151561"/>
            <w:r/>
            <w:bookmarkStart w:id="905" w:name="_Toc226965751"/>
            <w:r/>
            <w:bookmarkStart w:id="906" w:name="_Toc226337257"/>
            <w:r>
              <w:rPr>
                <w:rFonts w:hint="eastAsia" w:ascii="宋体" w:hAnsi="宋体" w:cs="Arial"/>
                <w:color w:val="0000ff"/>
                <w:sz w:val="24"/>
              </w:rPr>
              <w:t xml:space="preserve">本采购包中提供的符合本国产品标准的产品成本之和占该采购包提供的全部产品成本之和的比例为***%。</w:t>
            </w:r>
            <w:r>
              <w:rPr>
                <w:rFonts w:hint="eastAsia" w:ascii="仿宋" w:hAnsi="仿宋" w:eastAsia="仿宋" w:cs="仿宋"/>
                <w:b/>
                <w:bCs/>
                <w:i w:val="0"/>
                <w:iCs w:val="0"/>
                <w:color w:val="000000"/>
                <w:sz w:val="24"/>
                <w:szCs w:val="24"/>
                <w:u w:val="none"/>
                <w:lang w:val="en-US" w:eastAsia="zh-CN" w:bidi="ar"/>
              </w:rPr>
            </w:r>
            <w:r/>
          </w:p>
        </w:tc>
      </w:tr>
    </w:tbl>
    <w:p>
      <w:pPr>
        <w:pStyle w:val="109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9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92"/>
        <w:jc w:val="left"/>
        <w:tabs>
          <w:tab w:val="left" w:pos="1800" w:leader="none"/>
          <w:tab w:val="left" w:pos="5580" w:leader="none"/>
        </w:tabs>
        <w:rPr>
          <w:rFonts w:ascii="宋体" w:hAnsi="宋体"/>
          <w:color w:val="000000"/>
          <w:sz w:val="24"/>
        </w:rPr>
      </w:pPr>
      <w:r>
        <w:rPr>
          <w:rFonts w:ascii="宋体" w:hAnsi="宋体"/>
          <w:color w:val="000000"/>
          <w:sz w:val="24"/>
          <w:highlight w:val="none"/>
        </w:rPr>
        <w:t xml:space="preserve">注：</w:t>
      </w:r>
      <w:r>
        <w:rPr>
          <w:rFonts w:ascii="宋体" w:hAnsi="宋体"/>
          <w:color w:val="000000"/>
          <w:sz w:val="24"/>
        </w:rPr>
        <w:t xml:space="preserve">注：1.本表应按包分别填写。</w:t>
      </w:r>
      <w:r>
        <w:rPr>
          <w:rFonts w:ascii="宋体" w:hAnsi="宋体"/>
          <w:color w:val="000000"/>
          <w:sz w:val="24"/>
        </w:rPr>
      </w:r>
      <w:r/>
    </w:p>
    <w:p>
      <w:pPr>
        <w:pStyle w:val="1092"/>
        <w:ind w:firstLine="480"/>
        <w:jc w:val="left"/>
        <w:tabs>
          <w:tab w:val="left" w:pos="1800" w:leader="none"/>
          <w:tab w:val="left" w:pos="5580" w:leader="none"/>
        </w:tabs>
        <w:rPr>
          <w:rFonts w:ascii="宋体" w:hAnsi="宋体" w:eastAsia="宋体"/>
          <w:color w:val="000000"/>
          <w:sz w:val="24"/>
          <w:lang w:val="en-US" w:eastAsia="zh-CN"/>
        </w:rPr>
      </w:pPr>
      <w:r>
        <w:rPr>
          <w:rFonts w:hint="eastAsia" w:ascii="宋体" w:hAnsi="宋体"/>
          <w:color w:val="000000"/>
          <w:sz w:val="24"/>
          <w:lang w:val="en-US" w:eastAsia="zh-CN"/>
        </w:rPr>
        <w:t xml:space="preserve">2.上述设备按年度（12个月）进行报价。</w:t>
      </w:r>
      <w:r>
        <w:rPr>
          <w:rFonts w:ascii="宋体" w:hAnsi="宋体" w:eastAsia="宋体"/>
          <w:color w:val="000000"/>
          <w:sz w:val="24"/>
          <w:lang w:val="en-US" w:eastAsia="zh-CN"/>
        </w:rPr>
      </w:r>
      <w:r/>
    </w:p>
    <w:p>
      <w:pPr>
        <w:pStyle w:val="109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lang w:val="en-US" w:eastAsia="zh-CN"/>
        </w:rPr>
        <w:t xml:space="preserve">3</w:t>
      </w:r>
      <w:r>
        <w:rPr>
          <w:rFonts w:ascii="宋体" w:hAnsi="宋体"/>
          <w:color w:val="000000"/>
          <w:sz w:val="24"/>
        </w:rPr>
        <w:t xml:space="preserve">.如果不提供分项报价将视为没有实质性响应招标文件。</w:t>
      </w:r>
      <w:r>
        <w:rPr>
          <w:rFonts w:ascii="宋体" w:hAnsi="宋体"/>
          <w:color w:val="000000"/>
          <w:sz w:val="24"/>
        </w:rPr>
      </w:r>
      <w:r/>
    </w:p>
    <w:p>
      <w:pPr>
        <w:pStyle w:val="1092"/>
        <w:ind w:firstLine="480"/>
        <w:jc w:val="left"/>
        <w:tabs>
          <w:tab w:val="left" w:pos="1800" w:leader="none"/>
          <w:tab w:val="left" w:pos="5580" w:leader="none"/>
        </w:tabs>
        <w:rPr>
          <w:rFonts w:hint="eastAsia" w:ascii="宋体" w:hAnsi="宋体"/>
          <w:color w:val="000000"/>
          <w:sz w:val="24"/>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9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92"/>
        <w:spacing w:before="25" w:after="25"/>
        <w:rPr>
          <w:rFonts w:ascii="宋体" w:hAnsi="宋体"/>
          <w:color w:val="000000"/>
          <w:sz w:val="24"/>
          <w:lang w:val="zh-CN"/>
        </w:rPr>
      </w:pPr>
      <w:r>
        <w:rPr>
          <w:rFonts w:ascii="宋体" w:hAnsi="宋体"/>
          <w:color w:val="000000"/>
          <w:sz w:val="24"/>
          <w:lang w:val="zh-CN"/>
        </w:rPr>
        <w:t xml:space="preserve"> </w:t>
      </w:r>
      <w:r>
        <w:rPr>
          <w:rFonts w:ascii="宋体" w:hAnsi="宋体"/>
          <w:color w:val="0000ff"/>
          <w:sz w:val="24"/>
          <w:lang w:val="zh-CN"/>
        </w:rPr>
        <w:t xml:space="preserve"> </w:t>
      </w:r>
      <w:r>
        <w:rPr>
          <w:rFonts w:hint="eastAsia" w:ascii="宋体" w:hAnsi="宋体"/>
          <w:color w:val="0000ff"/>
          <w:sz w:val="24"/>
        </w:rPr>
        <w:t xml:space="preserve"> </w:t>
      </w:r>
      <w:r>
        <w:rPr>
          <w:rFonts w:ascii="宋体" w:hAnsi="宋体"/>
          <w:color w:val="0000ff"/>
          <w:sz w:val="24"/>
          <w:lang w:val="zh-CN"/>
        </w:rPr>
        <w:t xml:space="preserve"> </w:t>
      </w:r>
      <w:r>
        <w:rPr>
          <w:rFonts w:hint="eastAsia" w:ascii="宋体" w:hAnsi="宋体"/>
          <w:color w:val="0000ff"/>
          <w:sz w:val="24"/>
          <w:lang w:val="en-US" w:eastAsia="zh-CN"/>
        </w:rPr>
        <w:t xml:space="preserve">6</w:t>
      </w:r>
      <w:r>
        <w:rPr>
          <w:rFonts w:hint="eastAsia" w:ascii="宋体" w:hAnsi="宋体"/>
          <w:color w:val="0000ff"/>
          <w:sz w:val="24"/>
        </w:rPr>
        <w:t xml:space="preserve">.</w:t>
      </w:r>
      <w:r>
        <w:rPr>
          <w:rFonts w:hint="eastAsia" w:ascii="宋体" w:hAnsi="宋体"/>
          <w:color w:val="0000ff"/>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ff"/>
          <w:sz w:val="24"/>
          <w:lang w:val="zh-CN"/>
        </w:rPr>
        <w:t xml:space="preserve">          </w:t>
      </w:r>
      <w:r>
        <w:rPr>
          <w:rFonts w:ascii="宋体" w:hAnsi="宋体"/>
          <w:color w:val="000000"/>
          <w:sz w:val="24"/>
          <w:lang w:val="zh-CN"/>
        </w:rPr>
        <w:t xml:space="preserve">   </w:t>
      </w:r>
      <w:r>
        <w:rPr>
          <w:rFonts w:ascii="宋体" w:hAnsi="宋体"/>
          <w:color w:val="000000"/>
          <w:sz w:val="24"/>
          <w:lang w:val="zh-CN"/>
        </w:rPr>
      </w:r>
      <w:r/>
    </w:p>
    <w:p>
      <w:pPr>
        <w:pStyle w:val="109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9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9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9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9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9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9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9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bl>
    <w:p>
      <w:pPr>
        <w:pStyle w:val="109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9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9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9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9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9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9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9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9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hint="eastAsia" w:ascii="宋体" w:hAnsi="宋体"/>
                <w:b/>
                <w:color w:val="000000"/>
                <w:sz w:val="24"/>
                <w:highlight w:val="none"/>
                <w:lang w:val="en-US" w:eastAsia="zh-CN"/>
              </w:rPr>
              <w:t xml:space="preserve">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9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92"/>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92"/>
              <w:jc w:val="center"/>
              <w:rPr>
                <w:rFonts w:ascii="宋体" w:hAnsi="宋体"/>
                <w:color w:val="000000"/>
                <w:sz w:val="24"/>
                <w:highlight w:val="none"/>
              </w:rPr>
            </w:pPr>
            <w:r>
              <w:rPr>
                <w:rFonts w:ascii="宋体" w:hAnsi="宋体"/>
                <w:color w:val="000000"/>
                <w:sz w:val="24"/>
                <w:highlight w:val="none"/>
              </w:rPr>
            </w:r>
            <w:r/>
          </w:p>
        </w:tc>
      </w:tr>
    </w:tbl>
    <w:p>
      <w:pPr>
        <w:pStyle w:val="109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9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9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9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9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9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9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9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9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9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9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9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9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92"/>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9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92"/>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其他未列明行业</w:t>
      </w:r>
      <w:r>
        <w:rPr>
          <w:rFonts w:ascii="宋体" w:hAnsi="宋体"/>
          <w:i/>
          <w:color w:val="000000"/>
          <w:sz w:val="24"/>
          <w:highlight w:val="none"/>
          <w:u w:val="single"/>
        </w:rPr>
        <w:t xml:space="preserve">）</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92"/>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其他未列明行业</w:t>
      </w:r>
      <w:r>
        <w:rPr>
          <w:rFonts w:ascii="宋体" w:hAnsi="宋体"/>
          <w:i/>
          <w:color w:val="000000"/>
          <w:sz w:val="24"/>
          <w:highlight w:val="none"/>
          <w:u w:val="single"/>
        </w:rPr>
        <w:t xml:space="preserve">）</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9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9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92"/>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9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9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9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9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9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92"/>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9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92"/>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9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9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9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9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9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9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9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9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9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9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9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9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5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5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5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6"/>
          <w:rFonts w:hint="eastAsia" w:ascii="方正魏碑_GBK" w:hAnsi="方正魏碑_GBK" w:eastAsia="方正魏碑_GBK" w:cs="方正魏碑_GBK"/>
          <w:color w:val="000000"/>
          <w:highlight w:val="none"/>
          <w:u w:val="single"/>
          <w:shd w:val="clear" w:color="auto" w:fill="ffffff"/>
        </w:rPr>
        <w:t xml:space="preserve">（产品名称1）</w:t>
      </w:r>
      <w:r>
        <w:rPr>
          <w:rStyle w:val="116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6"/>
          <w:rFonts w:hint="eastAsia" w:ascii="方正魏碑_GBK" w:hAnsi="方正魏碑_GBK" w:eastAsia="方正魏碑_GBK" w:cs="方正魏碑_GBK"/>
          <w:color w:val="000000"/>
          <w:highlight w:val="none"/>
          <w:u w:val="single"/>
          <w:shd w:val="clear" w:color="auto" w:fill="ffffff"/>
        </w:rPr>
        <w:t xml:space="preserve">（厂名）</w:t>
      </w:r>
      <w:r>
        <w:rPr>
          <w:rStyle w:val="116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6"/>
          <w:rFonts w:hint="eastAsia" w:ascii="方正魏碑_GBK" w:hAnsi="方正魏碑_GBK" w:eastAsia="方正魏碑_GBK" w:cs="方正魏碑_GBK"/>
          <w:color w:val="000000"/>
          <w:highlight w:val="none"/>
          <w:u w:val="single"/>
          <w:shd w:val="clear" w:color="auto" w:fill="ffffff"/>
        </w:rPr>
        <w:t xml:space="preserve">（规定</w:t>
      </w:r>
      <w:r>
        <w:rPr>
          <w:rStyle w:val="1166"/>
          <w:rFonts w:ascii="方正魏碑_GBK" w:hAnsi="方正魏碑_GBK" w:eastAsia="方正魏碑_GBK" w:cs="方正魏碑_GBK"/>
          <w:color w:val="000000"/>
          <w:highlight w:val="none"/>
          <w:u w:val="single"/>
          <w:shd w:val="clear" w:color="auto" w:fill="ffffff"/>
        </w:rPr>
        <w:t xml:space="preserve">比例</w:t>
      </w:r>
      <w:r>
        <w:rPr>
          <w:rStyle w:val="1166"/>
          <w:rFonts w:hint="eastAsia" w:ascii="方正魏碑_GBK" w:hAnsi="方正魏碑_GBK" w:eastAsia="方正魏碑_GBK" w:cs="方正魏碑_GBK"/>
          <w:color w:val="000000"/>
          <w:highlight w:val="none"/>
          <w:u w:val="single"/>
          <w:shd w:val="clear" w:color="auto" w:fill="ffffff"/>
        </w:rPr>
        <w:t xml:space="preserve">）</w:t>
      </w:r>
      <w:r>
        <w:rPr>
          <w:rStyle w:val="116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6"/>
          <w:rFonts w:hint="eastAsia" w:ascii="方正魏碑_GBK" w:hAnsi="方正魏碑_GBK" w:eastAsia="方正魏碑_GBK" w:cs="方正魏碑_GBK"/>
          <w:color w:val="000000"/>
          <w:highlight w:val="none"/>
          <w:u w:val="single"/>
          <w:shd w:val="clear" w:color="auto" w:fill="ffffff"/>
        </w:rPr>
        <w:t xml:space="preserve">（关键</w:t>
      </w:r>
      <w:r>
        <w:rPr>
          <w:rStyle w:val="1166"/>
          <w:rFonts w:ascii="方正魏碑_GBK" w:hAnsi="方正魏碑_GBK" w:eastAsia="方正魏碑_GBK" w:cs="方正魏碑_GBK"/>
          <w:color w:val="000000"/>
          <w:highlight w:val="none"/>
          <w:u w:val="single"/>
          <w:shd w:val="clear" w:color="auto" w:fill="ffffff"/>
        </w:rPr>
        <w:t xml:space="preserve">组件</w:t>
      </w:r>
      <w:r>
        <w:rPr>
          <w:rStyle w:val="1166"/>
          <w:rFonts w:hint="eastAsia" w:ascii="方正魏碑_GBK" w:hAnsi="方正魏碑_GBK" w:eastAsia="方正魏碑_GBK" w:cs="方正魏碑_GBK"/>
          <w:color w:val="000000"/>
          <w:highlight w:val="none"/>
          <w:u w:val="single"/>
          <w:shd w:val="clear" w:color="auto" w:fill="ffffff"/>
        </w:rPr>
        <w:t xml:space="preserve">）</w:t>
      </w:r>
      <w:r>
        <w:rPr>
          <w:rStyle w:val="116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6"/>
          <w:rFonts w:hint="eastAsia" w:ascii="方正魏碑_GBK" w:hAnsi="方正魏碑_GBK" w:eastAsia="方正魏碑_GBK" w:cs="方正魏碑_GBK"/>
          <w:color w:val="000000"/>
          <w:highlight w:val="none"/>
          <w:u w:val="single"/>
          <w:shd w:val="clear" w:color="auto" w:fill="ffffff"/>
        </w:rPr>
        <w:t xml:space="preserve">（关键工序）</w:t>
      </w:r>
      <w:r>
        <w:rPr>
          <w:rStyle w:val="116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5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6"/>
          <w:rFonts w:hint="eastAsia" w:ascii="方正魏碑_GBK" w:hAnsi="方正魏碑_GBK" w:eastAsia="方正魏碑_GBK" w:cs="方正魏碑_GBK"/>
          <w:color w:val="000000"/>
          <w:highlight w:val="none"/>
          <w:u w:val="single"/>
          <w:shd w:val="clear" w:color="auto" w:fill="ffffff"/>
        </w:rPr>
        <w:t xml:space="preserve">（规定</w:t>
      </w:r>
      <w:r>
        <w:rPr>
          <w:rStyle w:val="1166"/>
          <w:rFonts w:ascii="方正魏碑_GBK" w:hAnsi="方正魏碑_GBK" w:eastAsia="方正魏碑_GBK" w:cs="方正魏碑_GBK"/>
          <w:color w:val="000000"/>
          <w:highlight w:val="none"/>
          <w:u w:val="single"/>
          <w:shd w:val="clear" w:color="auto" w:fill="ffffff"/>
        </w:rPr>
        <w:t xml:space="preserve">比例</w:t>
      </w:r>
      <w:r>
        <w:rPr>
          <w:rStyle w:val="116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6"/>
          <w:rFonts w:hint="eastAsia" w:ascii="方正魏碑_GBK" w:hAnsi="方正魏碑_GBK" w:eastAsia="方正魏碑_GBK" w:cs="方正魏碑_GBK"/>
          <w:color w:val="000000"/>
          <w:highlight w:val="none"/>
          <w:u w:val="single"/>
          <w:shd w:val="clear" w:color="auto" w:fill="ffffff"/>
        </w:rPr>
        <w:t xml:space="preserve">（关键</w:t>
      </w:r>
      <w:r>
        <w:rPr>
          <w:rStyle w:val="1166"/>
          <w:rFonts w:ascii="方正魏碑_GBK" w:hAnsi="方正魏碑_GBK" w:eastAsia="方正魏碑_GBK" w:cs="方正魏碑_GBK"/>
          <w:color w:val="000000"/>
          <w:highlight w:val="none"/>
          <w:u w:val="single"/>
          <w:shd w:val="clear" w:color="auto" w:fill="ffffff"/>
        </w:rPr>
        <w:t xml:space="preserve">组件</w:t>
      </w:r>
      <w:r>
        <w:rPr>
          <w:rStyle w:val="116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5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5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5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5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5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5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5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5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5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5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5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5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9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9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9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9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9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9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9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9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9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9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9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92"/>
        <w:spacing w:line="360" w:lineRule="auto"/>
        <w:rPr>
          <w:rFonts w:ascii="宋体" w:hAnsi="宋体"/>
          <w:color w:val="000000"/>
          <w:sz w:val="22"/>
          <w:highlight w:val="none"/>
        </w:rPr>
      </w:pPr>
      <w:r>
        <w:rPr>
          <w:rFonts w:ascii="宋体" w:hAnsi="宋体"/>
          <w:color w:val="000000"/>
          <w:sz w:val="22"/>
          <w:highlight w:val="none"/>
        </w:rPr>
      </w:r>
      <w:r/>
    </w:p>
    <w:p>
      <w:pPr>
        <w:pStyle w:val="10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9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9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9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92"/>
        <w:spacing w:line="360" w:lineRule="auto"/>
        <w:rPr>
          <w:rFonts w:ascii="宋体" w:hAnsi="宋体"/>
          <w:color w:val="000000"/>
          <w:sz w:val="24"/>
          <w:highlight w:val="none"/>
        </w:rPr>
      </w:pPr>
      <w:r>
        <w:rPr>
          <w:rFonts w:ascii="宋体" w:hAnsi="宋体"/>
          <w:color w:val="000000"/>
          <w:sz w:val="24"/>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397"/>
      <w:r/>
      <w:bookmarkStart w:id="908"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92"/>
        <w:rPr>
          <w:rFonts w:ascii="宋体" w:hAnsi="宋体"/>
          <w:color w:val="000000"/>
          <w:sz w:val="24"/>
          <w:szCs w:val="20"/>
          <w:highlight w:val="none"/>
        </w:rPr>
      </w:pPr>
      <w:r>
        <w:rPr>
          <w:rFonts w:ascii="宋体" w:hAnsi="宋体"/>
          <w:color w:val="000000"/>
          <w:sz w:val="24"/>
          <w:szCs w:val="20"/>
          <w:highlight w:val="none"/>
        </w:rPr>
      </w:r>
      <w:r/>
    </w:p>
    <w:p>
      <w:pPr>
        <w:pStyle w:val="109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9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9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9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9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9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92"/>
        <w:spacing w:line="360" w:lineRule="auto"/>
        <w:rPr>
          <w:rFonts w:ascii="宋体" w:hAnsi="宋体" w:cs="宋体"/>
          <w:color w:val="000000"/>
          <w:sz w:val="24"/>
          <w:highlight w:val="none"/>
        </w:rPr>
      </w:pPr>
      <w:r>
        <w:rPr>
          <w:rFonts w:ascii="宋体" w:hAnsi="宋体" w:cs="宋体"/>
          <w:color w:val="000000"/>
          <w:sz w:val="24"/>
          <w:highlight w:val="none"/>
        </w:rPr>
      </w:r>
      <w:r/>
    </w:p>
    <w:p>
      <w:pPr>
        <w:pStyle w:val="109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9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9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9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9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9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9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9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92"/>
        <w:rPr>
          <w:rFonts w:ascii="宋体" w:hAnsi="宋体"/>
          <w:color w:val="000000"/>
          <w:sz w:val="36"/>
          <w:szCs w:val="36"/>
          <w:highlight w:val="none"/>
        </w:rPr>
      </w:pPr>
      <w:r>
        <w:rPr>
          <w:rFonts w:ascii="宋体" w:hAnsi="宋体"/>
          <w:color w:val="000000"/>
          <w:sz w:val="36"/>
          <w:szCs w:val="36"/>
          <w:highlight w:val="none"/>
        </w:rPr>
      </w:r>
      <w:r/>
    </w:p>
    <w:p>
      <w:pPr>
        <w:pStyle w:val="1092"/>
        <w:rPr>
          <w:rFonts w:ascii="宋体" w:hAnsi="宋体"/>
          <w:color w:val="000000"/>
          <w:sz w:val="36"/>
          <w:szCs w:val="36"/>
          <w:highlight w:val="none"/>
        </w:rPr>
      </w:pPr>
      <w:r>
        <w:rPr>
          <w:rFonts w:ascii="宋体" w:hAnsi="宋体"/>
          <w:color w:val="000000"/>
          <w:sz w:val="36"/>
          <w:szCs w:val="36"/>
          <w:highlight w:val="none"/>
        </w:rPr>
      </w:r>
      <w:r/>
    </w:p>
    <w:p>
      <w:pPr>
        <w:pStyle w:val="109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9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right="360"/>
      <w:tabs>
        <w:tab w:val="center" w:pos="4153" w:leader="none"/>
        <w:tab w:val="right" w:pos="8306" w:leader="none"/>
      </w:tabs>
      <w:rPr>
        <w:rStyle w:val="1164"/>
      </w:rPr>
      <w:framePr w:wrap="around" w:vAnchor="text" w:hAnchor="margin" w:y="1"/>
    </w:pPr>
    <w:r>
      <w:rPr>
        <w:rStyle w:val="1164"/>
      </w:rPr>
    </w:r>
    <w:r/>
  </w:p>
  <w:p>
    <w:pPr>
      <w:pStyle w:val="114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rPr>
        <w:rStyle w:val="1164"/>
      </w:rPr>
      <w:framePr w:wrap="around" w:vAnchor="text" w:hAnchor="margin" w:xAlign="center" w:y="1"/>
    </w:pPr>
    <w:r>
      <w:fldChar w:fldCharType="begin"/>
    </w:r>
    <w:r>
      <w:rPr>
        <w:rStyle w:val="1164"/>
      </w:rPr>
      <w:instrText xml:space="preserve">PAGE  </w:instrText>
    </w:r>
    <w:r>
      <w:fldChar w:fldCharType="end"/>
    </w:r>
    <w:r>
      <w:rPr>
        <w:rStyle w:val="1164"/>
      </w:rPr>
    </w:r>
    <w:r/>
  </w:p>
  <w:p>
    <w:pPr>
      <w:pStyle w:val="114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rPr>
        <w:rStyle w:val="1164"/>
      </w:rPr>
      <w:framePr w:wrap="around" w:vAnchor="text" w:hAnchor="margin" w:xAlign="right" w:y="1"/>
    </w:pPr>
    <w:r>
      <w:rPr>
        <w:rStyle w:val="1164"/>
      </w:rPr>
    </w:r>
    <w:r/>
  </w:p>
  <w:p>
    <w:pPr>
      <w:pStyle w:val="114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rPr>
        <w:rStyle w:val="1164"/>
      </w:rPr>
      <w:framePr w:wrap="around" w:vAnchor="text" w:hAnchor="margin" w:xAlign="right" w:y="1"/>
    </w:pPr>
    <w:r>
      <w:rPr>
        <w:rStyle w:val="1164"/>
      </w:rPr>
      <w:fldChar w:fldCharType="begin"/>
    </w:r>
    <w:r>
      <w:rPr>
        <w:rStyle w:val="1164"/>
      </w:rPr>
      <w:instrText xml:space="preserve">PAGE  </w:instrText>
    </w:r>
    <w:r>
      <w:rPr>
        <w:rStyle w:val="1164"/>
      </w:rPr>
      <w:fldChar w:fldCharType="end"/>
    </w:r>
    <w:r>
      <w:rPr>
        <w:rStyle w:val="1164"/>
      </w:rPr>
    </w:r>
    <w:r/>
  </w:p>
  <w:p>
    <w:pPr>
      <w:pStyle w:val="114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rPr>
        <w:rStyle w:val="1164"/>
      </w:rPr>
      <w:framePr w:wrap="around" w:vAnchor="text" w:hAnchor="margin" w:xAlign="right" w:y="1"/>
    </w:pPr>
    <w:r>
      <w:rPr>
        <w:rStyle w:val="1164"/>
      </w:rPr>
      <w:fldChar w:fldCharType="begin"/>
    </w:r>
    <w:r>
      <w:rPr>
        <w:rStyle w:val="1164"/>
      </w:rPr>
      <w:instrText xml:space="preserve">PAGE  </w:instrText>
    </w:r>
    <w:r>
      <w:rPr>
        <w:rStyle w:val="1164"/>
      </w:rPr>
      <w:fldChar w:fldCharType="end"/>
    </w:r>
    <w:r>
      <w:rPr>
        <w:rStyle w:val="1164"/>
      </w:rPr>
    </w:r>
    <w:r/>
  </w:p>
  <w:p>
    <w:pPr>
      <w:pStyle w:val="1140"/>
      <w:ind w:right="360"/>
      <w:tabs>
        <w:tab w:val="center" w:pos="4153" w:leader="none"/>
        <w:tab w:val="right" w:pos="8306" w:leader="none"/>
      </w:tabs>
    </w:pPr>
    <w:r/>
    <w:r/>
  </w:p>
  <w:p>
    <w:pPr>
      <w:pStyle w:val="109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spacing w:before="25" w:line="222" w:lineRule="auto"/>
      <w:rPr>
        <w:rFonts w:ascii="宋体" w:hAnsi="宋体" w:eastAsia="宋体" w:cs="宋体"/>
        <w:sz w:val="20"/>
        <w:szCs w:val="2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1;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ascii="宋体" w:hAnsi="宋体" w:eastAsia="宋体" w:cs="宋体"/>
        <w:sz w:val="20"/>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Pr>
    <w:r/>
    <w:r/>
  </w:p>
  <w:p>
    <w:pPr>
      <w:pStyle w:val="1092"/>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92"/>
        <w:ind w:left="4941" w:hanging="1140"/>
        <w:tabs>
          <w:tab w:val="num" w:pos="4941" w:leader="none"/>
        </w:tabs>
      </w:pPr>
      <w:rPr>
        <w:rFonts w:hint="eastAsia"/>
      </w:rPr>
    </w:lvl>
    <w:lvl w:ilvl="1">
      <w:start w:val="1"/>
      <w:numFmt w:val="lowerLetter"/>
      <w:isLgl w:val="false"/>
      <w:suff w:val="tab"/>
      <w:lvlText w:val="%2)"/>
      <w:lvlJc w:val="left"/>
      <w:pPr>
        <w:pStyle w:val="1092"/>
        <w:ind w:left="4641" w:hanging="420"/>
        <w:tabs>
          <w:tab w:val="num" w:pos="4641" w:leader="none"/>
        </w:tabs>
      </w:pPr>
    </w:lvl>
    <w:lvl w:ilvl="2">
      <w:start w:val="1"/>
      <w:numFmt w:val="lowerRoman"/>
      <w:isLgl w:val="false"/>
      <w:suff w:val="tab"/>
      <w:lvlText w:val="%3."/>
      <w:lvlJc w:val="right"/>
      <w:pPr>
        <w:pStyle w:val="1092"/>
        <w:ind w:left="5061" w:hanging="420"/>
        <w:tabs>
          <w:tab w:val="num" w:pos="5061" w:leader="none"/>
        </w:tabs>
      </w:pPr>
    </w:lvl>
    <w:lvl w:ilvl="3">
      <w:start w:val="1"/>
      <w:numFmt w:val="decimal"/>
      <w:isLgl w:val="false"/>
      <w:suff w:val="tab"/>
      <w:lvlText w:val="%4."/>
      <w:lvlJc w:val="left"/>
      <w:pPr>
        <w:pStyle w:val="1092"/>
        <w:ind w:left="5481" w:hanging="420"/>
        <w:tabs>
          <w:tab w:val="num" w:pos="5481" w:leader="none"/>
        </w:tabs>
      </w:pPr>
    </w:lvl>
    <w:lvl w:ilvl="4">
      <w:start w:val="1"/>
      <w:numFmt w:val="lowerLetter"/>
      <w:isLgl w:val="false"/>
      <w:suff w:val="tab"/>
      <w:lvlText w:val="%5)"/>
      <w:lvlJc w:val="left"/>
      <w:pPr>
        <w:pStyle w:val="1092"/>
        <w:ind w:left="5901" w:hanging="420"/>
        <w:tabs>
          <w:tab w:val="num" w:pos="5901" w:leader="none"/>
        </w:tabs>
      </w:pPr>
    </w:lvl>
    <w:lvl w:ilvl="5">
      <w:start w:val="1"/>
      <w:numFmt w:val="lowerRoman"/>
      <w:isLgl w:val="false"/>
      <w:suff w:val="tab"/>
      <w:lvlText w:val="%6."/>
      <w:lvlJc w:val="right"/>
      <w:pPr>
        <w:pStyle w:val="1092"/>
        <w:ind w:left="6321" w:hanging="420"/>
        <w:tabs>
          <w:tab w:val="num" w:pos="6321" w:leader="none"/>
        </w:tabs>
      </w:pPr>
    </w:lvl>
    <w:lvl w:ilvl="6">
      <w:start w:val="1"/>
      <w:numFmt w:val="decimal"/>
      <w:isLgl w:val="false"/>
      <w:suff w:val="tab"/>
      <w:lvlText w:val="%7."/>
      <w:lvlJc w:val="left"/>
      <w:pPr>
        <w:pStyle w:val="1092"/>
        <w:ind w:left="6741" w:hanging="420"/>
        <w:tabs>
          <w:tab w:val="num" w:pos="6741" w:leader="none"/>
        </w:tabs>
      </w:pPr>
    </w:lvl>
    <w:lvl w:ilvl="7">
      <w:start w:val="1"/>
      <w:numFmt w:val="lowerLetter"/>
      <w:isLgl w:val="false"/>
      <w:suff w:val="tab"/>
      <w:lvlText w:val="%8)"/>
      <w:lvlJc w:val="left"/>
      <w:pPr>
        <w:pStyle w:val="1092"/>
        <w:ind w:left="7161" w:hanging="420"/>
        <w:tabs>
          <w:tab w:val="num" w:pos="7161" w:leader="none"/>
        </w:tabs>
      </w:pPr>
    </w:lvl>
    <w:lvl w:ilvl="8">
      <w:start w:val="1"/>
      <w:numFmt w:val="lowerRoman"/>
      <w:isLgl w:val="false"/>
      <w:suff w:val="tab"/>
      <w:lvlText w:val="%9."/>
      <w:lvlJc w:val="right"/>
      <w:pPr>
        <w:pStyle w:val="1092"/>
        <w:ind w:left="7581" w:hanging="420"/>
        <w:tabs>
          <w:tab w:val="num" w:pos="7581" w:leader="none"/>
        </w:tabs>
      </w:pPr>
    </w:lvl>
  </w:abstractNum>
  <w:abstractNum w:abstractNumId="1">
    <w:multiLevelType w:val="hybridMultilevel"/>
    <w:lvl w:ilvl="0">
      <w:start w:val="1"/>
      <w:numFmt w:val="decimal"/>
      <w:pStyle w:val="1200"/>
      <w:isLgl w:val="false"/>
      <w:suff w:val="tab"/>
      <w:lvlText w:val="%1."/>
      <w:lvlJc w:val="left"/>
      <w:pPr>
        <w:pStyle w:val="1092"/>
        <w:ind w:left="420" w:hanging="420"/>
      </w:pPr>
    </w:lvl>
    <w:lvl w:ilvl="1">
      <w:start w:val="1"/>
      <w:numFmt w:val="decimal"/>
      <w:isLgl w:val="false"/>
      <w:suff w:val="tab"/>
      <w:lvlText w:val="（%2）"/>
      <w:lvlJc w:val="left"/>
      <w:pPr>
        <w:pStyle w:val="1092"/>
        <w:ind w:left="1140" w:hanging="720"/>
        <w:tabs>
          <w:tab w:val="num" w:pos="1140" w:leader="none"/>
        </w:tabs>
      </w:pPr>
      <w:rPr>
        <w:rFonts w:hint="eastAsia"/>
      </w:rPr>
    </w:lvl>
    <w:lvl w:ilvl="2">
      <w:start w:val="1"/>
      <w:numFmt w:val="lowerRoman"/>
      <w:isLgl w:val="false"/>
      <w:suff w:val="tab"/>
      <w:lvlText w:val="%3."/>
      <w:lvlJc w:val="right"/>
      <w:pPr>
        <w:pStyle w:val="1092"/>
        <w:ind w:left="1260" w:hanging="420"/>
      </w:pPr>
    </w:lvl>
    <w:lvl w:ilvl="3">
      <w:start w:val="1"/>
      <w:numFmt w:val="decimal"/>
      <w:isLgl w:val="false"/>
      <w:suff w:val="tab"/>
      <w:lvlText w:val="%4."/>
      <w:lvlJc w:val="left"/>
      <w:pPr>
        <w:pStyle w:val="1092"/>
        <w:ind w:left="1680" w:hanging="420"/>
      </w:pPr>
    </w:lvl>
    <w:lvl w:ilvl="4">
      <w:start w:val="1"/>
      <w:numFmt w:val="lowerLetter"/>
      <w:isLgl w:val="false"/>
      <w:suff w:val="tab"/>
      <w:lvlText w:val="%5)"/>
      <w:lvlJc w:val="left"/>
      <w:pPr>
        <w:pStyle w:val="1092"/>
        <w:ind w:left="2100" w:hanging="420"/>
      </w:pPr>
    </w:lvl>
    <w:lvl w:ilvl="5">
      <w:start w:val="1"/>
      <w:numFmt w:val="lowerRoman"/>
      <w:isLgl w:val="false"/>
      <w:suff w:val="tab"/>
      <w:lvlText w:val="%6."/>
      <w:lvlJc w:val="right"/>
      <w:pPr>
        <w:pStyle w:val="1092"/>
        <w:ind w:left="2520" w:hanging="420"/>
      </w:pPr>
    </w:lvl>
    <w:lvl w:ilvl="6">
      <w:start w:val="1"/>
      <w:numFmt w:val="decimal"/>
      <w:isLgl w:val="false"/>
      <w:suff w:val="tab"/>
      <w:lvlText w:val="%7."/>
      <w:lvlJc w:val="left"/>
      <w:pPr>
        <w:pStyle w:val="1092"/>
        <w:ind w:left="2940" w:hanging="420"/>
      </w:pPr>
    </w:lvl>
    <w:lvl w:ilvl="7">
      <w:start w:val="1"/>
      <w:numFmt w:val="lowerLetter"/>
      <w:isLgl w:val="false"/>
      <w:suff w:val="tab"/>
      <w:lvlText w:val="%8)"/>
      <w:lvlJc w:val="left"/>
      <w:pPr>
        <w:pStyle w:val="1092"/>
        <w:ind w:left="3360" w:hanging="420"/>
      </w:pPr>
    </w:lvl>
    <w:lvl w:ilvl="8">
      <w:start w:val="1"/>
      <w:numFmt w:val="lowerRoman"/>
      <w:isLgl w:val="false"/>
      <w:suff w:val="tab"/>
      <w:lvlText w:val="%9."/>
      <w:lvlJc w:val="right"/>
      <w:pPr>
        <w:pStyle w:val="1092"/>
        <w:ind w:left="3780" w:hanging="420"/>
      </w:pPr>
    </w:lvl>
  </w:abstractNum>
  <w:abstractNum w:abstractNumId="2">
    <w:multiLevelType w:val="hybridMultilevel"/>
    <w:lvl w:ilvl="0">
      <w:start w:val="1"/>
      <w:numFmt w:val="lowerLetter"/>
      <w:pStyle w:val="1275"/>
      <w:isLgl w:val="false"/>
      <w:suff w:val="tab"/>
      <w:lvlText w:val="%1)"/>
      <w:lvlJc w:val="left"/>
      <w:pPr>
        <w:pStyle w:val="1092"/>
        <w:ind w:left="902" w:hanging="420"/>
      </w:pPr>
      <w:rPr>
        <w:color w:val="000000"/>
      </w:rPr>
    </w:lvl>
    <w:lvl w:ilvl="1">
      <w:start w:val="1"/>
      <w:numFmt w:val="lowerLetter"/>
      <w:isLgl w:val="false"/>
      <w:suff w:val="tab"/>
      <w:lvlText w:val="%2)"/>
      <w:lvlJc w:val="left"/>
      <w:pPr>
        <w:pStyle w:val="1092"/>
        <w:ind w:left="1322" w:hanging="420"/>
      </w:pPr>
    </w:lvl>
    <w:lvl w:ilvl="2">
      <w:start w:val="1"/>
      <w:numFmt w:val="lowerRoman"/>
      <w:isLgl w:val="false"/>
      <w:suff w:val="tab"/>
      <w:lvlText w:val="%3."/>
      <w:lvlJc w:val="right"/>
      <w:pPr>
        <w:pStyle w:val="1092"/>
        <w:ind w:left="1742" w:hanging="420"/>
      </w:pPr>
    </w:lvl>
    <w:lvl w:ilvl="3">
      <w:start w:val="1"/>
      <w:numFmt w:val="decimal"/>
      <w:isLgl w:val="false"/>
      <w:suff w:val="tab"/>
      <w:lvlText w:val="%4."/>
      <w:lvlJc w:val="left"/>
      <w:pPr>
        <w:pStyle w:val="1092"/>
        <w:ind w:left="2162" w:hanging="420"/>
      </w:pPr>
    </w:lvl>
    <w:lvl w:ilvl="4">
      <w:start w:val="1"/>
      <w:numFmt w:val="lowerLetter"/>
      <w:isLgl w:val="false"/>
      <w:suff w:val="tab"/>
      <w:lvlText w:val="%5)"/>
      <w:lvlJc w:val="left"/>
      <w:pPr>
        <w:pStyle w:val="1092"/>
        <w:ind w:left="2582" w:hanging="420"/>
      </w:pPr>
    </w:lvl>
    <w:lvl w:ilvl="5">
      <w:start w:val="1"/>
      <w:numFmt w:val="lowerRoman"/>
      <w:isLgl w:val="false"/>
      <w:suff w:val="tab"/>
      <w:lvlText w:val="%6."/>
      <w:lvlJc w:val="right"/>
      <w:pPr>
        <w:pStyle w:val="1092"/>
        <w:ind w:left="3002" w:hanging="420"/>
      </w:pPr>
    </w:lvl>
    <w:lvl w:ilvl="6">
      <w:start w:val="1"/>
      <w:numFmt w:val="decimal"/>
      <w:isLgl w:val="false"/>
      <w:suff w:val="tab"/>
      <w:lvlText w:val="%7."/>
      <w:lvlJc w:val="left"/>
      <w:pPr>
        <w:pStyle w:val="1092"/>
        <w:ind w:left="3422" w:hanging="420"/>
      </w:pPr>
    </w:lvl>
    <w:lvl w:ilvl="7">
      <w:start w:val="1"/>
      <w:numFmt w:val="lowerLetter"/>
      <w:isLgl w:val="false"/>
      <w:suff w:val="tab"/>
      <w:lvlText w:val="%8)"/>
      <w:lvlJc w:val="left"/>
      <w:pPr>
        <w:pStyle w:val="1092"/>
        <w:ind w:left="3842" w:hanging="420"/>
      </w:pPr>
    </w:lvl>
    <w:lvl w:ilvl="8">
      <w:start w:val="1"/>
      <w:numFmt w:val="lowerRoman"/>
      <w:isLgl w:val="false"/>
      <w:suff w:val="tab"/>
      <w:lvlText w:val="%9."/>
      <w:lvlJc w:val="right"/>
      <w:pPr>
        <w:pStyle w:val="1092"/>
        <w:ind w:left="4262" w:hanging="420"/>
      </w:pPr>
    </w:lvl>
  </w:abstractNum>
  <w:abstractNum w:abstractNumId="3">
    <w:multiLevelType w:val="hybridMultilevel"/>
    <w:lvl w:ilvl="0">
      <w:start w:val="1"/>
      <w:numFmt w:val="decimal"/>
      <w:pStyle w:val="1245"/>
      <w:isLgl w:val="false"/>
      <w:suff w:val="tab"/>
      <w:lvlText w:val="%1."/>
      <w:lvlJc w:val="left"/>
      <w:pPr>
        <w:pStyle w:val="109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4"/>
      <w:isLgl w:val="false"/>
      <w:suff w:val="nothing"/>
      <w:lvlText w:val="%1　"/>
      <w:lvlJc w:val="left"/>
      <w:pPr>
        <w:pStyle w:val="109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9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92"/>
        <w:ind w:left="-25" w:firstLine="0"/>
      </w:pPr>
      <w:rPr>
        <w:rFonts w:ascii="Times New Roman" w:hAnsi="Times New Roman" w:eastAsia="黑体"/>
        <w:b/>
        <w:i w:val="0"/>
        <w:sz w:val="28"/>
      </w:rPr>
    </w:lvl>
    <w:lvl w:ilvl="3">
      <w:start w:val="1"/>
      <w:numFmt w:val="decimal"/>
      <w:pStyle w:val="1230"/>
      <w:isLgl w:val="false"/>
      <w:suff w:val="nothing"/>
      <w:lvlText w:val="%1.%2.%3.%4　"/>
      <w:lvlJc w:val="left"/>
      <w:pPr>
        <w:pStyle w:val="109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9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92"/>
        <w:ind w:left="-25" w:firstLine="0"/>
      </w:pPr>
      <w:rPr>
        <w:rFonts w:ascii="Times New Roman" w:hAnsi="Times New Roman" w:eastAsia="宋体"/>
        <w:b/>
        <w:i w:val="0"/>
        <w:sz w:val="28"/>
      </w:rPr>
    </w:lvl>
    <w:lvl w:ilvl="6">
      <w:start w:val="1"/>
      <w:numFmt w:val="lowerLetter"/>
      <w:pStyle w:val="1251"/>
      <w:isLgl w:val="false"/>
      <w:suff w:val="tab"/>
      <w:lvlText w:val="%7) "/>
      <w:lvlJc w:val="left"/>
      <w:pPr>
        <w:pStyle w:val="1092"/>
        <w:ind w:left="-125" w:firstLine="400"/>
        <w:tabs>
          <w:tab w:val="num" w:pos="635" w:leader="none"/>
        </w:tabs>
      </w:pPr>
      <w:rPr>
        <w:rFonts w:ascii="Times New Roman" w:hAnsi="Times New Roman" w:eastAsia="宋体"/>
        <w:b/>
        <w:i w:val="0"/>
        <w:color w:val="000000"/>
        <w:sz w:val="28"/>
        <w:u w:val="none"/>
      </w:rPr>
    </w:lvl>
    <w:lvl w:ilvl="7">
      <w:start w:val="1"/>
      <w:numFmt w:val="decimal"/>
      <w:pStyle w:val="1214"/>
      <w:isLgl w:val="false"/>
      <w:suff w:val="tab"/>
      <w:lvlText w:val="%8) "/>
      <w:lvlJc w:val="left"/>
      <w:pPr>
        <w:pStyle w:val="109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9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92"/>
        <w:ind w:left="768" w:hanging="360"/>
        <w:tabs>
          <w:tab w:val="num" w:pos="768" w:leader="none"/>
        </w:tabs>
      </w:pPr>
      <w:rPr>
        <w:rFonts w:hint="eastAsia"/>
      </w:rPr>
    </w:lvl>
    <w:lvl w:ilvl="1">
      <w:start w:val="1"/>
      <w:numFmt w:val="decimal"/>
      <w:pStyle w:val="1232"/>
      <w:isLgl w:val="false"/>
      <w:suff w:val="tab"/>
      <w:lvlText w:val="%2、"/>
      <w:lvlJc w:val="left"/>
      <w:pPr>
        <w:pStyle w:val="1092"/>
        <w:ind w:left="1188" w:hanging="360"/>
        <w:tabs>
          <w:tab w:val="num" w:pos="1188" w:leader="none"/>
        </w:tabs>
      </w:pPr>
      <w:rPr>
        <w:rFonts w:hint="eastAsia"/>
      </w:rPr>
    </w:lvl>
    <w:lvl w:ilvl="2">
      <w:start w:val="1"/>
      <w:numFmt w:val="decimal"/>
      <w:isLgl w:val="false"/>
      <w:suff w:val="tab"/>
      <w:lvlText w:val="（%3）"/>
      <w:lvlJc w:val="left"/>
      <w:pPr>
        <w:pStyle w:val="1092"/>
        <w:ind w:left="1968" w:hanging="720"/>
        <w:tabs>
          <w:tab w:val="num" w:pos="1968" w:leader="none"/>
        </w:tabs>
      </w:pPr>
      <w:rPr>
        <w:rFonts w:hint="eastAsia"/>
        <w:u w:val="none"/>
      </w:rPr>
    </w:lvl>
    <w:lvl w:ilvl="3">
      <w:start w:val="1"/>
      <w:numFmt w:val="decimal"/>
      <w:isLgl w:val="false"/>
      <w:suff w:val="tab"/>
      <w:lvlText w:val="%4."/>
      <w:lvlJc w:val="left"/>
      <w:pPr>
        <w:pStyle w:val="1092"/>
        <w:ind w:left="2088" w:hanging="420"/>
        <w:tabs>
          <w:tab w:val="num" w:pos="2088" w:leader="none"/>
        </w:tabs>
      </w:pPr>
    </w:lvl>
    <w:lvl w:ilvl="4">
      <w:start w:val="1"/>
      <w:numFmt w:val="lowerLetter"/>
      <w:isLgl w:val="false"/>
      <w:suff w:val="tab"/>
      <w:lvlText w:val="%5)"/>
      <w:lvlJc w:val="left"/>
      <w:pPr>
        <w:pStyle w:val="1092"/>
        <w:ind w:left="2508" w:hanging="420"/>
        <w:tabs>
          <w:tab w:val="num" w:pos="2508" w:leader="none"/>
        </w:tabs>
      </w:pPr>
    </w:lvl>
    <w:lvl w:ilvl="5">
      <w:start w:val="1"/>
      <w:numFmt w:val="lowerRoman"/>
      <w:isLgl w:val="false"/>
      <w:suff w:val="tab"/>
      <w:lvlText w:val="%6."/>
      <w:lvlJc w:val="right"/>
      <w:pPr>
        <w:pStyle w:val="1092"/>
        <w:ind w:left="2928" w:hanging="420"/>
        <w:tabs>
          <w:tab w:val="num" w:pos="2928" w:leader="none"/>
        </w:tabs>
      </w:pPr>
    </w:lvl>
    <w:lvl w:ilvl="6">
      <w:start w:val="1"/>
      <w:numFmt w:val="decimal"/>
      <w:isLgl w:val="false"/>
      <w:suff w:val="tab"/>
      <w:lvlText w:val="%7."/>
      <w:lvlJc w:val="left"/>
      <w:pPr>
        <w:pStyle w:val="1092"/>
        <w:ind w:left="3348" w:hanging="420"/>
        <w:tabs>
          <w:tab w:val="num" w:pos="3348" w:leader="none"/>
        </w:tabs>
      </w:pPr>
    </w:lvl>
    <w:lvl w:ilvl="7">
      <w:start w:val="1"/>
      <w:numFmt w:val="lowerLetter"/>
      <w:isLgl w:val="false"/>
      <w:suff w:val="tab"/>
      <w:lvlText w:val="%8)"/>
      <w:lvlJc w:val="left"/>
      <w:pPr>
        <w:pStyle w:val="1092"/>
        <w:ind w:left="3768" w:hanging="420"/>
        <w:tabs>
          <w:tab w:val="num" w:pos="3768" w:leader="none"/>
        </w:tabs>
      </w:pPr>
    </w:lvl>
    <w:lvl w:ilvl="8">
      <w:start w:val="1"/>
      <w:numFmt w:val="lowerRoman"/>
      <w:isLgl w:val="false"/>
      <w:suff w:val="tab"/>
      <w:lvlText w:val="%9."/>
      <w:lvlJc w:val="right"/>
      <w:pPr>
        <w:pStyle w:val="109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92"/>
        <w:ind w:left="900" w:hanging="900"/>
        <w:tabs>
          <w:tab w:val="num" w:pos="900" w:leader="none"/>
        </w:tabs>
      </w:pPr>
      <w:rPr>
        <w:rFonts w:hint="eastAsia"/>
        <w:b/>
      </w:rPr>
    </w:lvl>
    <w:lvl w:ilvl="1">
      <w:start w:val="1"/>
      <w:numFmt w:val="decimal"/>
      <w:isLgl w:val="false"/>
      <w:suff w:val="tab"/>
      <w:lvlText w:val="%1.%2"/>
      <w:lvlJc w:val="left"/>
      <w:pPr>
        <w:pStyle w:val="109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9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92"/>
        <w:ind w:left="900" w:hanging="900"/>
        <w:tabs>
          <w:tab w:val="num" w:pos="900" w:leader="none"/>
        </w:tabs>
      </w:pPr>
      <w:rPr>
        <w:rFonts w:hint="eastAsia"/>
      </w:rPr>
    </w:lvl>
    <w:lvl w:ilvl="4">
      <w:start w:val="1"/>
      <w:numFmt w:val="decimal"/>
      <w:isLgl w:val="false"/>
      <w:suff w:val="tab"/>
      <w:lvlText w:val="%1.%2.%3.%4.%5"/>
      <w:lvlJc w:val="left"/>
      <w:pPr>
        <w:pStyle w:val="1092"/>
        <w:ind w:left="900" w:hanging="900"/>
        <w:tabs>
          <w:tab w:val="num" w:pos="900" w:leader="none"/>
        </w:tabs>
      </w:pPr>
      <w:rPr>
        <w:rFonts w:hint="eastAsia"/>
      </w:rPr>
    </w:lvl>
    <w:lvl w:ilvl="5">
      <w:start w:val="1"/>
      <w:numFmt w:val="decimal"/>
      <w:isLgl w:val="false"/>
      <w:suff w:val="tab"/>
      <w:lvlText w:val="%1.%2.%3.%4.%5.%6"/>
      <w:lvlJc w:val="left"/>
      <w:pPr>
        <w:pStyle w:val="1092"/>
        <w:ind w:left="900" w:hanging="900"/>
        <w:tabs>
          <w:tab w:val="num" w:pos="900" w:leader="none"/>
        </w:tabs>
      </w:pPr>
      <w:rPr>
        <w:rFonts w:hint="eastAsia"/>
      </w:rPr>
    </w:lvl>
    <w:lvl w:ilvl="6">
      <w:start w:val="1"/>
      <w:numFmt w:val="decimal"/>
      <w:isLgl w:val="false"/>
      <w:suff w:val="tab"/>
      <w:lvlText w:val="%1.%2.%3.%4.%5.%6.%7"/>
      <w:lvlJc w:val="left"/>
      <w:pPr>
        <w:pStyle w:val="1092"/>
        <w:ind w:left="900" w:hanging="900"/>
        <w:tabs>
          <w:tab w:val="num" w:pos="900" w:leader="none"/>
        </w:tabs>
      </w:pPr>
      <w:rPr>
        <w:rFonts w:hint="eastAsia"/>
      </w:rPr>
    </w:lvl>
    <w:lvl w:ilvl="7">
      <w:start w:val="1"/>
      <w:numFmt w:val="decimal"/>
      <w:isLgl w:val="false"/>
      <w:suff w:val="tab"/>
      <w:lvlText w:val="%1.%2.%3.%4.%5.%6.%7.%8"/>
      <w:lvlJc w:val="left"/>
      <w:pPr>
        <w:pStyle w:val="1092"/>
        <w:ind w:left="900" w:hanging="900"/>
        <w:tabs>
          <w:tab w:val="num" w:pos="900" w:leader="none"/>
        </w:tabs>
      </w:pPr>
      <w:rPr>
        <w:rFonts w:hint="eastAsia"/>
      </w:rPr>
    </w:lvl>
    <w:lvl w:ilvl="8">
      <w:start w:val="1"/>
      <w:numFmt w:val="decimal"/>
      <w:isLgl w:val="false"/>
      <w:suff w:val="tab"/>
      <w:lvlText w:val="%1.%2.%3.%4.%5.%6.%7.%8.%9"/>
      <w:lvlJc w:val="left"/>
      <w:pPr>
        <w:pStyle w:val="1092"/>
        <w:ind w:left="900" w:hanging="900"/>
        <w:tabs>
          <w:tab w:val="num" w:pos="900" w:leader="none"/>
        </w:tabs>
      </w:pPr>
      <w:rPr>
        <w:rFonts w:hint="eastAsia"/>
      </w:rPr>
    </w:lvl>
  </w:abstractNum>
  <w:abstractNum w:abstractNumId="7">
    <w:multiLevelType w:val="hybridMultilevel"/>
    <w:lvl w:ilvl="0">
      <w:start w:val="1"/>
      <w:numFmt w:val="decimal"/>
      <w:pStyle w:val="1199"/>
      <w:isLgl w:val="false"/>
      <w:suff w:val="tab"/>
      <w:lvlText w:val="%1)"/>
      <w:lvlJc w:val="left"/>
      <w:pPr>
        <w:pStyle w:val="1092"/>
        <w:ind w:left="420" w:hanging="420"/>
      </w:pPr>
    </w:lvl>
    <w:lvl w:ilvl="1">
      <w:start w:val="1"/>
      <w:numFmt w:val="lowerLetter"/>
      <w:isLgl w:val="false"/>
      <w:suff w:val="tab"/>
      <w:lvlText w:val="%2)"/>
      <w:lvlJc w:val="left"/>
      <w:pPr>
        <w:pStyle w:val="1092"/>
        <w:ind w:left="840" w:hanging="420"/>
      </w:pPr>
    </w:lvl>
    <w:lvl w:ilvl="2">
      <w:start w:val="1"/>
      <w:numFmt w:val="lowerRoman"/>
      <w:isLgl w:val="false"/>
      <w:suff w:val="tab"/>
      <w:lvlText w:val="%3."/>
      <w:lvlJc w:val="right"/>
      <w:pPr>
        <w:pStyle w:val="1092"/>
        <w:ind w:left="1260" w:hanging="420"/>
      </w:pPr>
    </w:lvl>
    <w:lvl w:ilvl="3">
      <w:start w:val="1"/>
      <w:numFmt w:val="decimal"/>
      <w:isLgl w:val="false"/>
      <w:suff w:val="tab"/>
      <w:lvlText w:val="%4."/>
      <w:lvlJc w:val="left"/>
      <w:pPr>
        <w:pStyle w:val="1092"/>
        <w:ind w:left="1680" w:hanging="420"/>
      </w:pPr>
    </w:lvl>
    <w:lvl w:ilvl="4">
      <w:start w:val="1"/>
      <w:numFmt w:val="lowerLetter"/>
      <w:isLgl w:val="false"/>
      <w:suff w:val="tab"/>
      <w:lvlText w:val="%5)"/>
      <w:lvlJc w:val="left"/>
      <w:pPr>
        <w:pStyle w:val="1092"/>
        <w:ind w:left="2100" w:hanging="420"/>
      </w:pPr>
    </w:lvl>
    <w:lvl w:ilvl="5">
      <w:start w:val="1"/>
      <w:numFmt w:val="lowerRoman"/>
      <w:isLgl w:val="false"/>
      <w:suff w:val="tab"/>
      <w:lvlText w:val="%6."/>
      <w:lvlJc w:val="right"/>
      <w:pPr>
        <w:pStyle w:val="1092"/>
        <w:ind w:left="2520" w:hanging="420"/>
      </w:pPr>
    </w:lvl>
    <w:lvl w:ilvl="6">
      <w:start w:val="1"/>
      <w:numFmt w:val="decimal"/>
      <w:isLgl w:val="false"/>
      <w:suff w:val="tab"/>
      <w:lvlText w:val="%7."/>
      <w:lvlJc w:val="left"/>
      <w:pPr>
        <w:pStyle w:val="1092"/>
        <w:ind w:left="2940" w:hanging="420"/>
      </w:pPr>
    </w:lvl>
    <w:lvl w:ilvl="7">
      <w:start w:val="1"/>
      <w:numFmt w:val="lowerLetter"/>
      <w:isLgl w:val="false"/>
      <w:suff w:val="tab"/>
      <w:lvlText w:val="%8)"/>
      <w:lvlJc w:val="left"/>
      <w:pPr>
        <w:pStyle w:val="1092"/>
        <w:ind w:left="3360" w:hanging="420"/>
      </w:pPr>
    </w:lvl>
    <w:lvl w:ilvl="8">
      <w:start w:val="1"/>
      <w:numFmt w:val="lowerRoman"/>
      <w:isLgl w:val="false"/>
      <w:suff w:val="tab"/>
      <w:lvlText w:val="%9."/>
      <w:lvlJc w:val="right"/>
      <w:pPr>
        <w:pStyle w:val="1092"/>
        <w:ind w:left="3780" w:hanging="420"/>
      </w:pPr>
    </w:lvl>
  </w:abstractNum>
  <w:abstractNum w:abstractNumId="8">
    <w:multiLevelType w:val="hybridMultilevel"/>
    <w:lvl w:ilvl="0">
      <w:start w:val="1"/>
      <w:numFmt w:val="decimal"/>
      <w:isLgl w:val="false"/>
      <w:suff w:val="tab"/>
      <w:lvlText w:val="%1."/>
      <w:lvlJc w:val="left"/>
      <w:pPr>
        <w:pStyle w:val="1092"/>
        <w:ind w:left="1242" w:hanging="382"/>
      </w:pPr>
      <w:rPr>
        <w:rFonts w:ascii="仿宋" w:hAnsi="仿宋" w:eastAsia="仿宋" w:cs="仿宋"/>
        <w:spacing w:val="0"/>
        <w:sz w:val="32"/>
        <w:szCs w:val="32"/>
      </w:rPr>
    </w:lvl>
    <w:lvl w:ilvl="1">
      <w:start w:val="0"/>
      <w:numFmt w:val="bullet"/>
      <w:isLgl w:val="false"/>
      <w:suff w:val="tab"/>
      <w:lvlText w:val="•"/>
      <w:lvlJc w:val="left"/>
      <w:pPr>
        <w:pStyle w:val="1092"/>
        <w:ind w:left="2010" w:hanging="382"/>
      </w:pPr>
    </w:lvl>
    <w:lvl w:ilvl="2">
      <w:start w:val="0"/>
      <w:numFmt w:val="bullet"/>
      <w:isLgl w:val="false"/>
      <w:suff w:val="tab"/>
      <w:lvlText w:val="•"/>
      <w:lvlJc w:val="left"/>
      <w:pPr>
        <w:pStyle w:val="1092"/>
        <w:ind w:left="2781" w:hanging="382"/>
      </w:pPr>
    </w:lvl>
    <w:lvl w:ilvl="3">
      <w:start w:val="0"/>
      <w:numFmt w:val="bullet"/>
      <w:isLgl w:val="false"/>
      <w:suff w:val="tab"/>
      <w:lvlText w:val="•"/>
      <w:lvlJc w:val="left"/>
      <w:pPr>
        <w:pStyle w:val="1092"/>
        <w:ind w:left="3551" w:hanging="382"/>
      </w:pPr>
    </w:lvl>
    <w:lvl w:ilvl="4">
      <w:start w:val="0"/>
      <w:numFmt w:val="bullet"/>
      <w:isLgl w:val="false"/>
      <w:suff w:val="tab"/>
      <w:lvlText w:val="•"/>
      <w:lvlJc w:val="left"/>
      <w:pPr>
        <w:pStyle w:val="1092"/>
        <w:ind w:left="4322" w:hanging="382"/>
      </w:pPr>
    </w:lvl>
    <w:lvl w:ilvl="5">
      <w:start w:val="0"/>
      <w:numFmt w:val="bullet"/>
      <w:isLgl w:val="false"/>
      <w:suff w:val="tab"/>
      <w:lvlText w:val="•"/>
      <w:lvlJc w:val="left"/>
      <w:pPr>
        <w:pStyle w:val="1092"/>
        <w:ind w:left="5093" w:hanging="382"/>
      </w:pPr>
    </w:lvl>
    <w:lvl w:ilvl="6">
      <w:start w:val="0"/>
      <w:numFmt w:val="bullet"/>
      <w:isLgl w:val="false"/>
      <w:suff w:val="tab"/>
      <w:lvlText w:val="•"/>
      <w:lvlJc w:val="left"/>
      <w:pPr>
        <w:pStyle w:val="1092"/>
        <w:ind w:left="5863" w:hanging="382"/>
      </w:pPr>
    </w:lvl>
    <w:lvl w:ilvl="7">
      <w:start w:val="0"/>
      <w:numFmt w:val="bullet"/>
      <w:isLgl w:val="false"/>
      <w:suff w:val="tab"/>
      <w:lvlText w:val="•"/>
      <w:lvlJc w:val="left"/>
      <w:pPr>
        <w:pStyle w:val="1092"/>
        <w:ind w:left="6634" w:hanging="382"/>
      </w:pPr>
    </w:lvl>
    <w:lvl w:ilvl="8">
      <w:start w:val="0"/>
      <w:numFmt w:val="bullet"/>
      <w:isLgl w:val="false"/>
      <w:suff w:val="tab"/>
      <w:lvlText w:val="•"/>
      <w:lvlJc w:val="left"/>
      <w:pPr>
        <w:pStyle w:val="1092"/>
        <w:ind w:left="7404" w:hanging="382"/>
      </w:pPr>
    </w:lvl>
  </w:abstractNum>
  <w:abstractNum w:abstractNumId="9">
    <w:multiLevelType w:val="hybridMultilevel"/>
    <w:lvl w:ilvl="0">
      <w:start w:val="1"/>
      <w:numFmt w:val="decimal"/>
      <w:pStyle w:val="1300"/>
      <w:isLgl w:val="false"/>
      <w:suff w:val="tab"/>
      <w:lvlText w:val="%1"/>
      <w:lvlJc w:val="left"/>
      <w:pPr>
        <w:pStyle w:val="1092"/>
        <w:ind w:left="680" w:hanging="680"/>
      </w:pPr>
      <w:rPr>
        <w:rFonts w:hint="eastAsia" w:ascii="宋体" w:hAnsi="宋体" w:eastAsia="宋体"/>
      </w:rPr>
    </w:lvl>
    <w:lvl w:ilvl="1">
      <w:start w:val="1"/>
      <w:numFmt w:val="decimal"/>
      <w:pStyle w:val="1301"/>
      <w:isLgl w:val="false"/>
      <w:suff w:val="tab"/>
      <w:lvlText w:val="%1.%2"/>
      <w:lvlJc w:val="left"/>
      <w:pPr>
        <w:pStyle w:val="1092"/>
        <w:ind w:left="851" w:hanging="851"/>
      </w:pPr>
      <w:rPr>
        <w:rFonts w:hint="eastAsia" w:ascii="宋体" w:hAnsi="宋体" w:eastAsia="宋体"/>
        <w:color w:val="000000"/>
      </w:rPr>
    </w:lvl>
    <w:lvl w:ilvl="2">
      <w:start w:val="1"/>
      <w:numFmt w:val="decimal"/>
      <w:pStyle w:val="1302"/>
      <w:isLgl w:val="false"/>
      <w:suff w:val="tab"/>
      <w:lvlText w:val="%1.%2.%3"/>
      <w:lvlJc w:val="left"/>
      <w:pPr>
        <w:pStyle w:val="1092"/>
        <w:ind w:left="851" w:hanging="851"/>
      </w:pPr>
      <w:rPr>
        <w:rFonts w:hint="eastAsia"/>
      </w:rPr>
    </w:lvl>
    <w:lvl w:ilvl="3">
      <w:start w:val="1"/>
      <w:numFmt w:val="decimal"/>
      <w:isLgl w:val="false"/>
      <w:suff w:val="tab"/>
      <w:lvlText w:val="%1.%2.%3.%4"/>
      <w:lvlJc w:val="left"/>
      <w:pPr>
        <w:pStyle w:val="1092"/>
        <w:ind w:left="680" w:hanging="680"/>
      </w:pPr>
      <w:rPr>
        <w:rFonts w:hint="eastAsia"/>
      </w:rPr>
    </w:lvl>
    <w:lvl w:ilvl="4">
      <w:start w:val="1"/>
      <w:numFmt w:val="decimal"/>
      <w:isLgl w:val="false"/>
      <w:suff w:val="tab"/>
      <w:lvlText w:val="%1.%2.%3.%4.%5"/>
      <w:lvlJc w:val="left"/>
      <w:pPr>
        <w:pStyle w:val="1092"/>
        <w:ind w:left="680" w:hanging="680"/>
      </w:pPr>
      <w:rPr>
        <w:rFonts w:hint="eastAsia"/>
      </w:rPr>
    </w:lvl>
    <w:lvl w:ilvl="5">
      <w:start w:val="1"/>
      <w:numFmt w:val="decimal"/>
      <w:isLgl w:val="false"/>
      <w:suff w:val="tab"/>
      <w:lvlText w:val="%1.%2.%3.%4.%5.%6"/>
      <w:lvlJc w:val="left"/>
      <w:pPr>
        <w:pStyle w:val="1092"/>
        <w:ind w:left="680" w:hanging="680"/>
      </w:pPr>
      <w:rPr>
        <w:rFonts w:hint="eastAsia"/>
      </w:rPr>
    </w:lvl>
    <w:lvl w:ilvl="6">
      <w:start w:val="1"/>
      <w:numFmt w:val="decimal"/>
      <w:isLgl w:val="false"/>
      <w:suff w:val="tab"/>
      <w:lvlText w:val="%1.%2.%3.%4.%5.%6.%7"/>
      <w:lvlJc w:val="left"/>
      <w:pPr>
        <w:pStyle w:val="1092"/>
        <w:ind w:left="680" w:hanging="680"/>
      </w:pPr>
      <w:rPr>
        <w:rFonts w:hint="eastAsia"/>
      </w:rPr>
    </w:lvl>
    <w:lvl w:ilvl="7">
      <w:start w:val="1"/>
      <w:numFmt w:val="decimal"/>
      <w:isLgl w:val="false"/>
      <w:suff w:val="tab"/>
      <w:lvlText w:val="%1.%2.%3.%4.%5.%6.%7.%8"/>
      <w:lvlJc w:val="left"/>
      <w:pPr>
        <w:pStyle w:val="1092"/>
        <w:ind w:left="680" w:hanging="680"/>
      </w:pPr>
      <w:rPr>
        <w:rFonts w:hint="eastAsia"/>
      </w:rPr>
    </w:lvl>
    <w:lvl w:ilvl="8">
      <w:start w:val="1"/>
      <w:numFmt w:val="decimal"/>
      <w:isLgl w:val="false"/>
      <w:suff w:val="tab"/>
      <w:lvlText w:val="%1.%2.%3.%4.%5.%6.%7.%8.%9"/>
      <w:lvlJc w:val="left"/>
      <w:pPr>
        <w:pStyle w:val="1092"/>
        <w:ind w:left="680" w:hanging="680"/>
      </w:pPr>
      <w:rPr>
        <w:rFonts w:hint="eastAsia"/>
      </w:rPr>
    </w:lvl>
  </w:abstractNum>
  <w:abstractNum w:abstractNumId="10">
    <w:multiLevelType w:val="hybridMultilevel"/>
    <w:lvl w:ilvl="0">
      <w:start w:val="1"/>
      <w:numFmt w:val="decimal"/>
      <w:isLgl w:val="false"/>
      <w:suff w:val="tab"/>
      <w:lvlText w:val="%1."/>
      <w:lvlJc w:val="left"/>
      <w:pPr>
        <w:pStyle w:val="1092"/>
        <w:ind w:left="900" w:hanging="900"/>
        <w:tabs>
          <w:tab w:val="num" w:pos="900" w:leader="none"/>
        </w:tabs>
      </w:pPr>
      <w:rPr>
        <w:rFonts w:hint="eastAsia"/>
      </w:rPr>
    </w:lvl>
    <w:lvl w:ilvl="1">
      <w:start w:val="1"/>
      <w:numFmt w:val="decimal"/>
      <w:isLgl w:val="false"/>
      <w:suff w:val="tab"/>
      <w:lvlText w:val="%1.%2"/>
      <w:lvlJc w:val="left"/>
      <w:pPr>
        <w:pStyle w:val="109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9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92"/>
        <w:ind w:left="900" w:hanging="900"/>
        <w:tabs>
          <w:tab w:val="num" w:pos="900" w:leader="none"/>
        </w:tabs>
      </w:pPr>
      <w:rPr>
        <w:rFonts w:hint="eastAsia"/>
      </w:rPr>
    </w:lvl>
    <w:lvl w:ilvl="4">
      <w:start w:val="1"/>
      <w:numFmt w:val="decimal"/>
      <w:isLgl w:val="false"/>
      <w:suff w:val="tab"/>
      <w:lvlText w:val="%1.%2.%3.%4.%5"/>
      <w:lvlJc w:val="left"/>
      <w:pPr>
        <w:pStyle w:val="1092"/>
        <w:ind w:left="900" w:hanging="900"/>
        <w:tabs>
          <w:tab w:val="num" w:pos="900" w:leader="none"/>
        </w:tabs>
      </w:pPr>
      <w:rPr>
        <w:rFonts w:hint="eastAsia"/>
      </w:rPr>
    </w:lvl>
    <w:lvl w:ilvl="5">
      <w:start w:val="1"/>
      <w:numFmt w:val="decimal"/>
      <w:isLgl w:val="false"/>
      <w:suff w:val="tab"/>
      <w:lvlText w:val="%1.%2.%3.%4.%5.%6"/>
      <w:lvlJc w:val="left"/>
      <w:pPr>
        <w:pStyle w:val="1092"/>
        <w:ind w:left="900" w:hanging="900"/>
        <w:tabs>
          <w:tab w:val="num" w:pos="900" w:leader="none"/>
        </w:tabs>
      </w:pPr>
      <w:rPr>
        <w:rFonts w:hint="eastAsia"/>
      </w:rPr>
    </w:lvl>
    <w:lvl w:ilvl="6">
      <w:start w:val="1"/>
      <w:numFmt w:val="decimal"/>
      <w:isLgl w:val="false"/>
      <w:suff w:val="tab"/>
      <w:lvlText w:val="%1.%2.%3.%4.%5.%6.%7"/>
      <w:lvlJc w:val="left"/>
      <w:pPr>
        <w:pStyle w:val="1092"/>
        <w:ind w:left="900" w:hanging="900"/>
        <w:tabs>
          <w:tab w:val="num" w:pos="900" w:leader="none"/>
        </w:tabs>
      </w:pPr>
      <w:rPr>
        <w:rFonts w:hint="eastAsia"/>
      </w:rPr>
    </w:lvl>
    <w:lvl w:ilvl="7">
      <w:start w:val="1"/>
      <w:numFmt w:val="decimal"/>
      <w:isLgl w:val="false"/>
      <w:suff w:val="tab"/>
      <w:lvlText w:val="%1.%2.%3.%4.%5.%6.%7.%8"/>
      <w:lvlJc w:val="left"/>
      <w:pPr>
        <w:pStyle w:val="1092"/>
        <w:ind w:left="900" w:hanging="900"/>
        <w:tabs>
          <w:tab w:val="num" w:pos="900" w:leader="none"/>
        </w:tabs>
      </w:pPr>
      <w:rPr>
        <w:rFonts w:hint="eastAsia"/>
      </w:rPr>
    </w:lvl>
    <w:lvl w:ilvl="8">
      <w:start w:val="1"/>
      <w:numFmt w:val="decimal"/>
      <w:isLgl w:val="false"/>
      <w:suff w:val="tab"/>
      <w:lvlText w:val="%1.%2.%3.%4.%5.%6.%7.%8.%9"/>
      <w:lvlJc w:val="left"/>
      <w:pPr>
        <w:pStyle w:val="109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92"/>
        <w:ind w:left="900" w:hanging="900"/>
        <w:tabs>
          <w:tab w:val="num" w:pos="900" w:leader="none"/>
        </w:tabs>
      </w:pPr>
      <w:rPr>
        <w:rFonts w:hint="eastAsia"/>
      </w:rPr>
    </w:lvl>
    <w:lvl w:ilvl="1">
      <w:start w:val="1"/>
      <w:numFmt w:val="decimal"/>
      <w:isLgl w:val="false"/>
      <w:suff w:val="tab"/>
      <w:lvlText w:val="%1.%2"/>
      <w:lvlJc w:val="left"/>
      <w:pPr>
        <w:pStyle w:val="10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2"/>
        <w:ind w:left="1980" w:hanging="900"/>
        <w:tabs>
          <w:tab w:val="num" w:pos="1980" w:leader="none"/>
        </w:tabs>
      </w:pPr>
      <w:rPr>
        <w:rFonts w:hint="eastAsia"/>
      </w:rPr>
    </w:lvl>
    <w:lvl w:ilvl="3">
      <w:start w:val="1"/>
      <w:numFmt w:val="decimal"/>
      <w:isLgl w:val="false"/>
      <w:suff w:val="tab"/>
      <w:lvlText w:val="%1.%2.%3.%4"/>
      <w:lvlJc w:val="left"/>
      <w:pPr>
        <w:pStyle w:val="109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92"/>
        <w:ind w:left="900" w:hanging="900"/>
        <w:tabs>
          <w:tab w:val="num" w:pos="900" w:leader="none"/>
        </w:tabs>
      </w:pPr>
      <w:rPr>
        <w:rFonts w:hint="eastAsia"/>
      </w:rPr>
    </w:lvl>
    <w:lvl w:ilvl="5">
      <w:start w:val="1"/>
      <w:numFmt w:val="decimal"/>
      <w:isLgl w:val="false"/>
      <w:suff w:val="tab"/>
      <w:lvlText w:val="%1.%2.%3.%4.%5.%6"/>
      <w:lvlJc w:val="left"/>
      <w:pPr>
        <w:pStyle w:val="1092"/>
        <w:ind w:left="900" w:hanging="900"/>
        <w:tabs>
          <w:tab w:val="num" w:pos="900" w:leader="none"/>
        </w:tabs>
      </w:pPr>
      <w:rPr>
        <w:rFonts w:hint="eastAsia"/>
      </w:rPr>
    </w:lvl>
    <w:lvl w:ilvl="6">
      <w:start w:val="1"/>
      <w:numFmt w:val="decimal"/>
      <w:isLgl w:val="false"/>
      <w:suff w:val="tab"/>
      <w:lvlText w:val="%1.%2.%3.%4.%5.%6.%7"/>
      <w:lvlJc w:val="left"/>
      <w:pPr>
        <w:pStyle w:val="1092"/>
        <w:ind w:left="900" w:hanging="900"/>
        <w:tabs>
          <w:tab w:val="num" w:pos="900" w:leader="none"/>
        </w:tabs>
      </w:pPr>
      <w:rPr>
        <w:rFonts w:hint="eastAsia"/>
      </w:rPr>
    </w:lvl>
    <w:lvl w:ilvl="7">
      <w:start w:val="1"/>
      <w:numFmt w:val="decimal"/>
      <w:isLgl w:val="false"/>
      <w:suff w:val="tab"/>
      <w:lvlText w:val="%1.%2.%3.%4.%5.%6.%7.%8"/>
      <w:lvlJc w:val="left"/>
      <w:pPr>
        <w:pStyle w:val="1092"/>
        <w:ind w:left="900" w:hanging="900"/>
        <w:tabs>
          <w:tab w:val="num" w:pos="900" w:leader="none"/>
        </w:tabs>
      </w:pPr>
      <w:rPr>
        <w:rFonts w:hint="eastAsia"/>
      </w:rPr>
    </w:lvl>
    <w:lvl w:ilvl="8">
      <w:start w:val="1"/>
      <w:numFmt w:val="decimal"/>
      <w:isLgl w:val="false"/>
      <w:suff w:val="tab"/>
      <w:lvlText w:val="%1.%2.%3.%4.%5.%6.%7.%8.%9"/>
      <w:lvlJc w:val="left"/>
      <w:pPr>
        <w:pStyle w:val="109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92"/>
        <w:ind w:left="900" w:hanging="900"/>
        <w:tabs>
          <w:tab w:val="num" w:pos="900" w:leader="none"/>
        </w:tabs>
      </w:pPr>
      <w:rPr>
        <w:rFonts w:hint="eastAsia"/>
      </w:rPr>
    </w:lvl>
    <w:lvl w:ilvl="1">
      <w:start w:val="1"/>
      <w:numFmt w:val="decimal"/>
      <w:isLgl w:val="false"/>
      <w:suff w:val="tab"/>
      <w:lvlText w:val="%1.%2"/>
      <w:lvlJc w:val="left"/>
      <w:pPr>
        <w:pStyle w:val="10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2"/>
        <w:ind w:left="1980" w:hanging="900"/>
        <w:tabs>
          <w:tab w:val="num" w:pos="1980" w:leader="none"/>
        </w:tabs>
      </w:pPr>
      <w:rPr>
        <w:rFonts w:hint="eastAsia"/>
      </w:rPr>
    </w:lvl>
    <w:lvl w:ilvl="3">
      <w:start w:val="1"/>
      <w:numFmt w:val="decimal"/>
      <w:isLgl w:val="false"/>
      <w:suff w:val="tab"/>
      <w:lvlText w:val="%1.%2.%3.%4"/>
      <w:lvlJc w:val="left"/>
      <w:pPr>
        <w:pStyle w:val="1092"/>
        <w:ind w:left="900" w:hanging="900"/>
        <w:tabs>
          <w:tab w:val="num" w:pos="900" w:leader="none"/>
        </w:tabs>
      </w:pPr>
      <w:rPr>
        <w:rFonts w:hint="eastAsia"/>
      </w:rPr>
    </w:lvl>
    <w:lvl w:ilvl="4">
      <w:start w:val="1"/>
      <w:numFmt w:val="decimal"/>
      <w:isLgl w:val="false"/>
      <w:suff w:val="tab"/>
      <w:lvlText w:val="%1.%2.%3.%4.%5"/>
      <w:lvlJc w:val="left"/>
      <w:pPr>
        <w:pStyle w:val="1092"/>
        <w:ind w:left="900" w:hanging="900"/>
        <w:tabs>
          <w:tab w:val="num" w:pos="900" w:leader="none"/>
        </w:tabs>
      </w:pPr>
      <w:rPr>
        <w:rFonts w:hint="eastAsia"/>
      </w:rPr>
    </w:lvl>
    <w:lvl w:ilvl="5">
      <w:start w:val="1"/>
      <w:numFmt w:val="decimal"/>
      <w:isLgl w:val="false"/>
      <w:suff w:val="tab"/>
      <w:lvlText w:val="%1.%2.%3.%4.%5.%6"/>
      <w:lvlJc w:val="left"/>
      <w:pPr>
        <w:pStyle w:val="1092"/>
        <w:ind w:left="900" w:hanging="900"/>
        <w:tabs>
          <w:tab w:val="num" w:pos="900" w:leader="none"/>
        </w:tabs>
      </w:pPr>
      <w:rPr>
        <w:rFonts w:hint="eastAsia"/>
      </w:rPr>
    </w:lvl>
    <w:lvl w:ilvl="6">
      <w:start w:val="1"/>
      <w:numFmt w:val="decimal"/>
      <w:isLgl w:val="false"/>
      <w:suff w:val="tab"/>
      <w:lvlText w:val="%1.%2.%3.%4.%5.%6.%7"/>
      <w:lvlJc w:val="left"/>
      <w:pPr>
        <w:pStyle w:val="1092"/>
        <w:ind w:left="900" w:hanging="900"/>
        <w:tabs>
          <w:tab w:val="num" w:pos="900" w:leader="none"/>
        </w:tabs>
      </w:pPr>
      <w:rPr>
        <w:rFonts w:hint="eastAsia"/>
      </w:rPr>
    </w:lvl>
    <w:lvl w:ilvl="7">
      <w:start w:val="1"/>
      <w:numFmt w:val="decimal"/>
      <w:isLgl w:val="false"/>
      <w:suff w:val="tab"/>
      <w:lvlText w:val="%1.%2.%3.%4.%5.%6.%7.%8"/>
      <w:lvlJc w:val="left"/>
      <w:pPr>
        <w:pStyle w:val="1092"/>
        <w:ind w:left="900" w:hanging="900"/>
        <w:tabs>
          <w:tab w:val="num" w:pos="900" w:leader="none"/>
        </w:tabs>
      </w:pPr>
      <w:rPr>
        <w:rFonts w:hint="eastAsia"/>
      </w:rPr>
    </w:lvl>
    <w:lvl w:ilvl="8">
      <w:start w:val="1"/>
      <w:numFmt w:val="decimal"/>
      <w:isLgl w:val="false"/>
      <w:suff w:val="tab"/>
      <w:lvlText w:val="%1.%2.%3.%4.%5.%6.%7.%8.%9"/>
      <w:lvlJc w:val="left"/>
      <w:pPr>
        <w:pStyle w:val="109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92"/>
        <w:ind w:left="900" w:hanging="900"/>
        <w:tabs>
          <w:tab w:val="num" w:pos="900" w:leader="none"/>
        </w:tabs>
      </w:pPr>
      <w:rPr>
        <w:rFonts w:hint="eastAsia"/>
      </w:rPr>
    </w:lvl>
    <w:lvl w:ilvl="1">
      <w:start w:val="1"/>
      <w:numFmt w:val="decimal"/>
      <w:isLgl w:val="false"/>
      <w:suff w:val="tab"/>
      <w:lvlText w:val="%1.%2"/>
      <w:lvlJc w:val="left"/>
      <w:pPr>
        <w:pStyle w:val="10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2"/>
        <w:ind w:left="1980" w:hanging="900"/>
        <w:tabs>
          <w:tab w:val="num" w:pos="1980" w:leader="none"/>
        </w:tabs>
      </w:pPr>
      <w:rPr>
        <w:rFonts w:hint="eastAsia"/>
      </w:rPr>
    </w:lvl>
    <w:lvl w:ilvl="3">
      <w:start w:val="1"/>
      <w:numFmt w:val="decimal"/>
      <w:isLgl w:val="false"/>
      <w:suff w:val="tab"/>
      <w:lvlText w:val="%1.%2.%3.%4"/>
      <w:lvlJc w:val="left"/>
      <w:pPr>
        <w:pStyle w:val="1092"/>
        <w:ind w:left="900" w:hanging="900"/>
        <w:tabs>
          <w:tab w:val="num" w:pos="900" w:leader="none"/>
        </w:tabs>
      </w:pPr>
      <w:rPr>
        <w:rFonts w:hint="eastAsia"/>
      </w:rPr>
    </w:lvl>
    <w:lvl w:ilvl="4">
      <w:start w:val="1"/>
      <w:numFmt w:val="decimal"/>
      <w:isLgl w:val="false"/>
      <w:suff w:val="tab"/>
      <w:lvlText w:val="%1.%2.%3.%4.%5"/>
      <w:lvlJc w:val="left"/>
      <w:pPr>
        <w:pStyle w:val="1092"/>
        <w:ind w:left="900" w:hanging="900"/>
        <w:tabs>
          <w:tab w:val="num" w:pos="900" w:leader="none"/>
        </w:tabs>
      </w:pPr>
      <w:rPr>
        <w:rFonts w:hint="eastAsia"/>
      </w:rPr>
    </w:lvl>
    <w:lvl w:ilvl="5">
      <w:start w:val="1"/>
      <w:numFmt w:val="decimal"/>
      <w:isLgl w:val="false"/>
      <w:suff w:val="tab"/>
      <w:lvlText w:val="%1.%2.%3.%4.%5.%6"/>
      <w:lvlJc w:val="left"/>
      <w:pPr>
        <w:pStyle w:val="1092"/>
        <w:ind w:left="900" w:hanging="900"/>
        <w:tabs>
          <w:tab w:val="num" w:pos="900" w:leader="none"/>
        </w:tabs>
      </w:pPr>
      <w:rPr>
        <w:rFonts w:hint="eastAsia"/>
      </w:rPr>
    </w:lvl>
    <w:lvl w:ilvl="6">
      <w:start w:val="1"/>
      <w:numFmt w:val="decimal"/>
      <w:isLgl w:val="false"/>
      <w:suff w:val="tab"/>
      <w:lvlText w:val="%1.%2.%3.%4.%5.%6.%7"/>
      <w:lvlJc w:val="left"/>
      <w:pPr>
        <w:pStyle w:val="1092"/>
        <w:ind w:left="900" w:hanging="900"/>
        <w:tabs>
          <w:tab w:val="num" w:pos="900" w:leader="none"/>
        </w:tabs>
      </w:pPr>
      <w:rPr>
        <w:rFonts w:hint="eastAsia"/>
      </w:rPr>
    </w:lvl>
    <w:lvl w:ilvl="7">
      <w:start w:val="1"/>
      <w:numFmt w:val="decimal"/>
      <w:isLgl w:val="false"/>
      <w:suff w:val="tab"/>
      <w:lvlText w:val="%1.%2.%3.%4.%5.%6.%7.%8"/>
      <w:lvlJc w:val="left"/>
      <w:pPr>
        <w:pStyle w:val="1092"/>
        <w:ind w:left="900" w:hanging="900"/>
        <w:tabs>
          <w:tab w:val="num" w:pos="900" w:leader="none"/>
        </w:tabs>
      </w:pPr>
      <w:rPr>
        <w:rFonts w:hint="eastAsia"/>
      </w:rPr>
    </w:lvl>
    <w:lvl w:ilvl="8">
      <w:start w:val="1"/>
      <w:numFmt w:val="decimal"/>
      <w:isLgl w:val="false"/>
      <w:suff w:val="tab"/>
      <w:lvlText w:val="%1.%2.%3.%4.%5.%6.%7.%8.%9"/>
      <w:lvlJc w:val="left"/>
      <w:pPr>
        <w:pStyle w:val="109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name w:val="Heading 1"/>
    <w:basedOn w:val="1092"/>
    <w:next w:val="1092"/>
    <w:link w:val="915"/>
    <w:uiPriority w:val="9"/>
    <w:qFormat/>
    <w:pPr>
      <w:keepLines/>
      <w:keepNext/>
      <w:spacing w:before="480" w:after="200"/>
      <w:outlineLvl w:val="0"/>
    </w:pPr>
    <w:rPr>
      <w:rFonts w:ascii="Arial" w:hAnsi="Arial" w:eastAsia="Arial" w:cs="Arial"/>
      <w:sz w:val="40"/>
      <w:szCs w:val="40"/>
    </w:rPr>
  </w:style>
  <w:style w:type="character" w:styleId="915">
    <w:name w:val="Heading 1 Char"/>
    <w:link w:val="914"/>
    <w:uiPriority w:val="9"/>
    <w:rPr>
      <w:rFonts w:ascii="Arial" w:hAnsi="Arial" w:eastAsia="Arial" w:cs="Arial"/>
      <w:sz w:val="40"/>
      <w:szCs w:val="40"/>
    </w:rPr>
  </w:style>
  <w:style w:type="paragraph" w:styleId="916">
    <w:name w:val="Heading 2"/>
    <w:basedOn w:val="1092"/>
    <w:next w:val="1092"/>
    <w:link w:val="917"/>
    <w:uiPriority w:val="9"/>
    <w:unhideWhenUsed/>
    <w:qFormat/>
    <w:pPr>
      <w:keepLines/>
      <w:keepNext/>
      <w:spacing w:before="360" w:after="200"/>
      <w:outlineLvl w:val="1"/>
    </w:pPr>
    <w:rPr>
      <w:rFonts w:ascii="Arial" w:hAnsi="Arial" w:eastAsia="Arial" w:cs="Arial"/>
      <w:sz w:val="34"/>
    </w:rPr>
  </w:style>
  <w:style w:type="character" w:styleId="917">
    <w:name w:val="Heading 2 Char"/>
    <w:link w:val="916"/>
    <w:uiPriority w:val="9"/>
    <w:rPr>
      <w:rFonts w:ascii="Arial" w:hAnsi="Arial" w:eastAsia="Arial" w:cs="Arial"/>
      <w:sz w:val="34"/>
    </w:rPr>
  </w:style>
  <w:style w:type="paragraph" w:styleId="918">
    <w:name w:val="Heading 3"/>
    <w:basedOn w:val="1092"/>
    <w:next w:val="1092"/>
    <w:link w:val="919"/>
    <w:uiPriority w:val="9"/>
    <w:unhideWhenUsed/>
    <w:qFormat/>
    <w:pPr>
      <w:keepLines/>
      <w:keepNext/>
      <w:spacing w:before="320" w:after="200"/>
      <w:outlineLvl w:val="2"/>
    </w:pPr>
    <w:rPr>
      <w:rFonts w:ascii="Arial" w:hAnsi="Arial" w:eastAsia="Arial" w:cs="Arial"/>
      <w:sz w:val="30"/>
      <w:szCs w:val="30"/>
    </w:rPr>
  </w:style>
  <w:style w:type="character" w:styleId="919">
    <w:name w:val="Heading 3 Char"/>
    <w:link w:val="918"/>
    <w:uiPriority w:val="9"/>
    <w:rPr>
      <w:rFonts w:ascii="Arial" w:hAnsi="Arial" w:eastAsia="Arial" w:cs="Arial"/>
      <w:sz w:val="30"/>
      <w:szCs w:val="30"/>
    </w:rPr>
  </w:style>
  <w:style w:type="paragraph" w:styleId="920">
    <w:name w:val="Heading 4"/>
    <w:basedOn w:val="1092"/>
    <w:next w:val="1092"/>
    <w:link w:val="921"/>
    <w:uiPriority w:val="9"/>
    <w:unhideWhenUsed/>
    <w:qFormat/>
    <w:pPr>
      <w:keepLines/>
      <w:keepNext/>
      <w:spacing w:before="320" w:after="200"/>
      <w:outlineLvl w:val="3"/>
    </w:pPr>
    <w:rPr>
      <w:rFonts w:ascii="Arial" w:hAnsi="Arial" w:eastAsia="Arial" w:cs="Arial"/>
      <w:b/>
      <w:bCs/>
      <w:sz w:val="26"/>
      <w:szCs w:val="26"/>
    </w:rPr>
  </w:style>
  <w:style w:type="character" w:styleId="921">
    <w:name w:val="Heading 4 Char"/>
    <w:link w:val="920"/>
    <w:uiPriority w:val="9"/>
    <w:rPr>
      <w:rFonts w:ascii="Arial" w:hAnsi="Arial" w:eastAsia="Arial" w:cs="Arial"/>
      <w:b/>
      <w:bCs/>
      <w:sz w:val="26"/>
      <w:szCs w:val="26"/>
    </w:rPr>
  </w:style>
  <w:style w:type="paragraph" w:styleId="922">
    <w:name w:val="Heading 5"/>
    <w:basedOn w:val="1092"/>
    <w:next w:val="1092"/>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link w:val="922"/>
    <w:uiPriority w:val="9"/>
    <w:rPr>
      <w:rFonts w:ascii="Arial" w:hAnsi="Arial" w:eastAsia="Arial" w:cs="Arial"/>
      <w:b/>
      <w:bCs/>
      <w:sz w:val="24"/>
      <w:szCs w:val="24"/>
    </w:rPr>
  </w:style>
  <w:style w:type="paragraph" w:styleId="924">
    <w:name w:val="Heading 6"/>
    <w:basedOn w:val="1092"/>
    <w:next w:val="1092"/>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link w:val="924"/>
    <w:uiPriority w:val="9"/>
    <w:rPr>
      <w:rFonts w:ascii="Arial" w:hAnsi="Arial" w:eastAsia="Arial" w:cs="Arial"/>
      <w:b/>
      <w:bCs/>
      <w:sz w:val="22"/>
      <w:szCs w:val="22"/>
    </w:rPr>
  </w:style>
  <w:style w:type="paragraph" w:styleId="926">
    <w:name w:val="Heading 7"/>
    <w:basedOn w:val="1092"/>
    <w:next w:val="1092"/>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link w:val="926"/>
    <w:uiPriority w:val="9"/>
    <w:rPr>
      <w:rFonts w:ascii="Arial" w:hAnsi="Arial" w:eastAsia="Arial" w:cs="Arial"/>
      <w:b/>
      <w:bCs/>
      <w:i/>
      <w:iCs/>
      <w:sz w:val="22"/>
      <w:szCs w:val="22"/>
    </w:rPr>
  </w:style>
  <w:style w:type="paragraph" w:styleId="928">
    <w:name w:val="Heading 8"/>
    <w:basedOn w:val="1092"/>
    <w:next w:val="1092"/>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link w:val="928"/>
    <w:uiPriority w:val="9"/>
    <w:rPr>
      <w:rFonts w:ascii="Arial" w:hAnsi="Arial" w:eastAsia="Arial" w:cs="Arial"/>
      <w:i/>
      <w:iCs/>
      <w:sz w:val="22"/>
      <w:szCs w:val="22"/>
    </w:rPr>
  </w:style>
  <w:style w:type="paragraph" w:styleId="930">
    <w:name w:val="Heading 9"/>
    <w:basedOn w:val="1092"/>
    <w:next w:val="1092"/>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link w:val="930"/>
    <w:uiPriority w:val="9"/>
    <w:rPr>
      <w:rFonts w:ascii="Arial" w:hAnsi="Arial" w:eastAsia="Arial" w:cs="Arial"/>
      <w:i/>
      <w:iCs/>
      <w:sz w:val="21"/>
      <w:szCs w:val="21"/>
    </w:rPr>
  </w:style>
  <w:style w:type="paragraph" w:styleId="932">
    <w:name w:val="List Paragraph"/>
    <w:basedOn w:val="1092"/>
    <w:uiPriority w:val="34"/>
    <w:qFormat/>
    <w:pPr>
      <w:contextualSpacing/>
      <w:ind w:left="720"/>
    </w:pPr>
  </w:style>
  <w:style w:type="paragraph" w:styleId="933">
    <w:name w:val="No Spacing"/>
    <w:uiPriority w:val="1"/>
    <w:qFormat/>
    <w:pPr>
      <w:spacing w:before="0" w:after="0" w:line="240" w:lineRule="auto"/>
    </w:pPr>
  </w:style>
  <w:style w:type="paragraph" w:styleId="934">
    <w:name w:val="Title"/>
    <w:basedOn w:val="1092"/>
    <w:next w:val="1092"/>
    <w:link w:val="935"/>
    <w:uiPriority w:val="10"/>
    <w:qFormat/>
    <w:pPr>
      <w:contextualSpacing/>
      <w:spacing w:before="300" w:after="200"/>
    </w:pPr>
    <w:rPr>
      <w:sz w:val="48"/>
      <w:szCs w:val="48"/>
    </w:rPr>
  </w:style>
  <w:style w:type="character" w:styleId="935">
    <w:name w:val="Title Char"/>
    <w:link w:val="934"/>
    <w:uiPriority w:val="10"/>
    <w:rPr>
      <w:sz w:val="48"/>
      <w:szCs w:val="48"/>
    </w:rPr>
  </w:style>
  <w:style w:type="paragraph" w:styleId="936">
    <w:name w:val="Subtitle"/>
    <w:basedOn w:val="1092"/>
    <w:next w:val="1092"/>
    <w:link w:val="937"/>
    <w:uiPriority w:val="11"/>
    <w:qFormat/>
    <w:pPr>
      <w:spacing w:before="200" w:after="200"/>
    </w:pPr>
    <w:rPr>
      <w:sz w:val="24"/>
      <w:szCs w:val="24"/>
    </w:rPr>
  </w:style>
  <w:style w:type="character" w:styleId="937">
    <w:name w:val="Subtitle Char"/>
    <w:link w:val="936"/>
    <w:uiPriority w:val="11"/>
    <w:rPr>
      <w:sz w:val="24"/>
      <w:szCs w:val="24"/>
    </w:rPr>
  </w:style>
  <w:style w:type="paragraph" w:styleId="938">
    <w:name w:val="Quote"/>
    <w:basedOn w:val="1092"/>
    <w:next w:val="1092"/>
    <w:link w:val="939"/>
    <w:uiPriority w:val="29"/>
    <w:qFormat/>
    <w:pPr>
      <w:ind w:left="720" w:right="720"/>
    </w:pPr>
    <w:rPr>
      <w:i/>
    </w:rPr>
  </w:style>
  <w:style w:type="character" w:styleId="939">
    <w:name w:val="Quote Char"/>
    <w:link w:val="938"/>
    <w:uiPriority w:val="29"/>
    <w:rPr>
      <w:i/>
    </w:rPr>
  </w:style>
  <w:style w:type="paragraph" w:styleId="940">
    <w:name w:val="Intense Quote"/>
    <w:basedOn w:val="1092"/>
    <w:next w:val="1092"/>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1092"/>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1092"/>
    <w:link w:val="947"/>
    <w:uiPriority w:val="99"/>
    <w:unhideWhenUsed/>
    <w:pPr>
      <w:spacing w:after="0" w:line="240" w:lineRule="auto"/>
      <w:tabs>
        <w:tab w:val="center" w:pos="7143" w:leader="none"/>
        <w:tab w:val="right" w:pos="14287" w:leader="none"/>
      </w:tabs>
    </w:pPr>
  </w:style>
  <w:style w:type="character" w:styleId="945">
    <w:name w:val="Footer Char"/>
    <w:link w:val="944"/>
    <w:uiPriority w:val="99"/>
  </w:style>
  <w:style w:type="paragraph" w:styleId="946">
    <w:name w:val="Caption"/>
    <w:basedOn w:val="1092"/>
    <w:next w:val="1092"/>
    <w:uiPriority w:val="35"/>
    <w:semiHidden/>
    <w:unhideWhenUsed/>
    <w:qFormat/>
    <w:pPr>
      <w:spacing w:line="276" w:lineRule="auto"/>
    </w:pPr>
    <w:rPr>
      <w:b/>
      <w:bCs/>
      <w:color w:val="4f81bd" w:themeColor="accent1"/>
      <w:sz w:val="18"/>
      <w:szCs w:val="18"/>
    </w:rPr>
  </w:style>
  <w:style w:type="character" w:styleId="947">
    <w:name w:val="Caption Char"/>
    <w:basedOn w:val="946"/>
    <w:link w:val="944"/>
    <w:uiPriority w:val="99"/>
  </w:style>
  <w:style w:type="table" w:styleId="9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4">
    <w:name w:val="Hyperlink"/>
    <w:uiPriority w:val="99"/>
    <w:unhideWhenUsed/>
    <w:rPr>
      <w:color w:val="0000ff" w:themeColor="hyperlink"/>
      <w:u w:val="single"/>
    </w:rPr>
  </w:style>
  <w:style w:type="paragraph" w:styleId="1075">
    <w:name w:val="footnote text"/>
    <w:basedOn w:val="1092"/>
    <w:link w:val="1076"/>
    <w:uiPriority w:val="99"/>
    <w:semiHidden/>
    <w:unhideWhenUsed/>
    <w:pPr>
      <w:spacing w:after="40" w:line="240" w:lineRule="auto"/>
    </w:pPr>
    <w:rPr>
      <w:sz w:val="18"/>
    </w:rPr>
  </w:style>
  <w:style w:type="character" w:styleId="1076">
    <w:name w:val="Footnote Text Char"/>
    <w:link w:val="1075"/>
    <w:uiPriority w:val="99"/>
    <w:rPr>
      <w:sz w:val="18"/>
    </w:rPr>
  </w:style>
  <w:style w:type="character" w:styleId="1077">
    <w:name w:val="footnote reference"/>
    <w:uiPriority w:val="99"/>
    <w:unhideWhenUsed/>
    <w:rPr>
      <w:vertAlign w:val="superscript"/>
    </w:rPr>
  </w:style>
  <w:style w:type="paragraph" w:styleId="1078">
    <w:name w:val="endnote text"/>
    <w:basedOn w:val="1092"/>
    <w:link w:val="1079"/>
    <w:uiPriority w:val="99"/>
    <w:semiHidden/>
    <w:unhideWhenUsed/>
    <w:pPr>
      <w:spacing w:after="0" w:line="240" w:lineRule="auto"/>
    </w:pPr>
    <w:rPr>
      <w:sz w:val="20"/>
    </w:rPr>
  </w:style>
  <w:style w:type="character" w:styleId="1079">
    <w:name w:val="Endnote Text Char"/>
    <w:link w:val="1078"/>
    <w:uiPriority w:val="99"/>
    <w:rPr>
      <w:sz w:val="20"/>
    </w:rPr>
  </w:style>
  <w:style w:type="character" w:styleId="1080">
    <w:name w:val="endnote reference"/>
    <w:uiPriority w:val="99"/>
    <w:semiHidden/>
    <w:unhideWhenUsed/>
    <w:rPr>
      <w:vertAlign w:val="superscript"/>
    </w:rPr>
  </w:style>
  <w:style w:type="paragraph" w:styleId="1081">
    <w:name w:val="toc 1"/>
    <w:basedOn w:val="1092"/>
    <w:next w:val="1092"/>
    <w:uiPriority w:val="39"/>
    <w:unhideWhenUsed/>
    <w:pPr>
      <w:ind w:left="0" w:right="0" w:firstLine="0"/>
      <w:spacing w:after="57"/>
    </w:pPr>
  </w:style>
  <w:style w:type="paragraph" w:styleId="1082">
    <w:name w:val="toc 2"/>
    <w:basedOn w:val="1092"/>
    <w:next w:val="1092"/>
    <w:uiPriority w:val="39"/>
    <w:unhideWhenUsed/>
    <w:pPr>
      <w:ind w:left="283" w:right="0" w:firstLine="0"/>
      <w:spacing w:after="57"/>
    </w:pPr>
  </w:style>
  <w:style w:type="paragraph" w:styleId="1083">
    <w:name w:val="toc 3"/>
    <w:basedOn w:val="1092"/>
    <w:next w:val="1092"/>
    <w:uiPriority w:val="39"/>
    <w:unhideWhenUsed/>
    <w:pPr>
      <w:ind w:left="567" w:right="0" w:firstLine="0"/>
      <w:spacing w:after="57"/>
    </w:pPr>
  </w:style>
  <w:style w:type="paragraph" w:styleId="1084">
    <w:name w:val="toc 4"/>
    <w:basedOn w:val="1092"/>
    <w:next w:val="1092"/>
    <w:uiPriority w:val="39"/>
    <w:unhideWhenUsed/>
    <w:pPr>
      <w:ind w:left="850" w:right="0" w:firstLine="0"/>
      <w:spacing w:after="57"/>
    </w:pPr>
  </w:style>
  <w:style w:type="paragraph" w:styleId="1085">
    <w:name w:val="toc 5"/>
    <w:basedOn w:val="1092"/>
    <w:next w:val="1092"/>
    <w:uiPriority w:val="39"/>
    <w:unhideWhenUsed/>
    <w:pPr>
      <w:ind w:left="1134" w:right="0" w:firstLine="0"/>
      <w:spacing w:after="57"/>
    </w:pPr>
  </w:style>
  <w:style w:type="paragraph" w:styleId="1086">
    <w:name w:val="toc 6"/>
    <w:basedOn w:val="1092"/>
    <w:next w:val="1092"/>
    <w:uiPriority w:val="39"/>
    <w:unhideWhenUsed/>
    <w:pPr>
      <w:ind w:left="1417" w:right="0" w:firstLine="0"/>
      <w:spacing w:after="57"/>
    </w:pPr>
  </w:style>
  <w:style w:type="paragraph" w:styleId="1087">
    <w:name w:val="toc 7"/>
    <w:basedOn w:val="1092"/>
    <w:next w:val="1092"/>
    <w:uiPriority w:val="39"/>
    <w:unhideWhenUsed/>
    <w:pPr>
      <w:ind w:left="1701" w:right="0" w:firstLine="0"/>
      <w:spacing w:after="57"/>
    </w:pPr>
  </w:style>
  <w:style w:type="paragraph" w:styleId="1088">
    <w:name w:val="toc 8"/>
    <w:basedOn w:val="1092"/>
    <w:next w:val="1092"/>
    <w:uiPriority w:val="39"/>
    <w:unhideWhenUsed/>
    <w:pPr>
      <w:ind w:left="1984" w:right="0" w:firstLine="0"/>
      <w:spacing w:after="57"/>
    </w:pPr>
  </w:style>
  <w:style w:type="paragraph" w:styleId="1089">
    <w:name w:val="toc 9"/>
    <w:basedOn w:val="1092"/>
    <w:next w:val="1092"/>
    <w:uiPriority w:val="39"/>
    <w:unhideWhenUsed/>
    <w:pPr>
      <w:ind w:left="2268" w:right="0" w:firstLine="0"/>
      <w:spacing w:after="57"/>
    </w:pPr>
  </w:style>
  <w:style w:type="paragraph" w:styleId="1090">
    <w:name w:val="TOC Heading"/>
    <w:uiPriority w:val="39"/>
    <w:unhideWhenUsed/>
  </w:style>
  <w:style w:type="paragraph" w:styleId="1091">
    <w:name w:val="table of figures"/>
    <w:basedOn w:val="1092"/>
    <w:next w:val="1092"/>
    <w:uiPriority w:val="99"/>
    <w:unhideWhenUsed/>
    <w:pPr>
      <w:spacing w:after="0" w:afterAutospacing="0"/>
    </w:pPr>
  </w:style>
  <w:style w:type="paragraph" w:styleId="1092" w:default="1">
    <w:name w:val="Normal"/>
    <w:next w:val="1092"/>
    <w:link w:val="1092"/>
    <w:qFormat/>
    <w:pPr>
      <w:jc w:val="both"/>
      <w:widowControl w:val="off"/>
    </w:pPr>
    <w:rPr>
      <w:sz w:val="21"/>
      <w:szCs w:val="24"/>
      <w:lang w:val="en-US" w:eastAsia="zh-CN" w:bidi="ar-SA"/>
    </w:rPr>
  </w:style>
  <w:style w:type="paragraph" w:styleId="1093">
    <w:name w:val="标题 1"/>
    <w:basedOn w:val="1092"/>
    <w:next w:val="1092"/>
    <w:link w:val="1104"/>
    <w:qFormat/>
    <w:pPr>
      <w:jc w:val="center"/>
      <w:keepLines/>
      <w:keepNext/>
      <w:spacing w:before="240" w:after="120" w:line="300" w:lineRule="auto"/>
      <w:outlineLvl w:val="0"/>
    </w:pPr>
    <w:rPr>
      <w:rFonts w:ascii="宋体"/>
      <w:b/>
      <w:sz w:val="32"/>
      <w:szCs w:val="20"/>
    </w:rPr>
  </w:style>
  <w:style w:type="paragraph" w:styleId="1094">
    <w:name w:val="标题 2"/>
    <w:basedOn w:val="1092"/>
    <w:next w:val="1106"/>
    <w:link w:val="1105"/>
    <w:qFormat/>
    <w:pPr>
      <w:jc w:val="center"/>
      <w:keepLines/>
      <w:keepNext/>
      <w:spacing w:before="120" w:line="300" w:lineRule="auto"/>
      <w:outlineLvl w:val="1"/>
    </w:pPr>
    <w:rPr>
      <w:rFonts w:ascii="Arial" w:hAnsi="Arial" w:eastAsia="黑体"/>
      <w:b/>
      <w:sz w:val="30"/>
      <w:szCs w:val="20"/>
    </w:rPr>
  </w:style>
  <w:style w:type="paragraph" w:styleId="1095">
    <w:name w:val="标题 3"/>
    <w:basedOn w:val="1092"/>
    <w:next w:val="1106"/>
    <w:link w:val="1108"/>
    <w:qFormat/>
    <w:pPr>
      <w:jc w:val="left"/>
      <w:keepLines/>
      <w:keepNext/>
      <w:spacing w:before="360" w:after="120"/>
      <w:outlineLvl w:val="2"/>
    </w:pPr>
    <w:rPr>
      <w:rFonts w:ascii="宋体"/>
      <w:b/>
      <w:sz w:val="24"/>
      <w:szCs w:val="20"/>
      <w:u w:val="single"/>
    </w:rPr>
  </w:style>
  <w:style w:type="paragraph" w:styleId="1096">
    <w:name w:val="标题 4"/>
    <w:basedOn w:val="1092"/>
    <w:next w:val="1092"/>
    <w:link w:val="1109"/>
    <w:qFormat/>
    <w:pPr>
      <w:keepLines/>
      <w:keepNext/>
      <w:spacing w:before="280" w:after="290" w:line="376" w:lineRule="atLeast"/>
      <w:outlineLvl w:val="3"/>
    </w:pPr>
    <w:rPr>
      <w:rFonts w:ascii="Arial" w:hAnsi="Arial" w:eastAsia="黑体"/>
      <w:b/>
      <w:sz w:val="28"/>
      <w:szCs w:val="20"/>
    </w:rPr>
  </w:style>
  <w:style w:type="paragraph" w:styleId="1097">
    <w:name w:val="标题 5"/>
    <w:basedOn w:val="1092"/>
    <w:next w:val="1092"/>
    <w:link w:val="1110"/>
    <w:qFormat/>
    <w:pPr>
      <w:keepLines/>
      <w:keepNext/>
      <w:spacing w:before="280" w:after="290" w:line="376" w:lineRule="atLeast"/>
      <w:outlineLvl w:val="4"/>
    </w:pPr>
    <w:rPr>
      <w:b/>
      <w:sz w:val="28"/>
      <w:szCs w:val="20"/>
    </w:rPr>
  </w:style>
  <w:style w:type="paragraph" w:styleId="1098">
    <w:name w:val="标题 6"/>
    <w:basedOn w:val="1092"/>
    <w:next w:val="1092"/>
    <w:link w:val="1111"/>
    <w:qFormat/>
    <w:pPr>
      <w:keepLines/>
      <w:keepNext/>
      <w:spacing w:before="240" w:after="64" w:line="320" w:lineRule="atLeast"/>
      <w:outlineLvl w:val="5"/>
    </w:pPr>
    <w:rPr>
      <w:rFonts w:ascii="Arial" w:hAnsi="Arial" w:eastAsia="黑体"/>
      <w:b/>
      <w:sz w:val="24"/>
      <w:szCs w:val="20"/>
    </w:rPr>
  </w:style>
  <w:style w:type="paragraph" w:styleId="1099">
    <w:name w:val="标题 7"/>
    <w:basedOn w:val="1092"/>
    <w:next w:val="1092"/>
    <w:link w:val="1112"/>
    <w:qFormat/>
    <w:pPr>
      <w:keepLines/>
      <w:keepNext/>
      <w:spacing w:before="240" w:after="64" w:line="320" w:lineRule="atLeast"/>
      <w:outlineLvl w:val="6"/>
    </w:pPr>
    <w:rPr>
      <w:b/>
      <w:sz w:val="24"/>
      <w:szCs w:val="20"/>
    </w:rPr>
  </w:style>
  <w:style w:type="paragraph" w:styleId="1100">
    <w:name w:val="标题 8"/>
    <w:basedOn w:val="1092"/>
    <w:next w:val="1092"/>
    <w:link w:val="1113"/>
    <w:qFormat/>
    <w:pPr>
      <w:keepLines/>
      <w:keepNext/>
      <w:spacing w:before="240" w:after="64" w:line="320" w:lineRule="atLeast"/>
      <w:outlineLvl w:val="7"/>
    </w:pPr>
    <w:rPr>
      <w:rFonts w:ascii="Arial" w:hAnsi="Arial" w:eastAsia="黑体"/>
      <w:sz w:val="24"/>
      <w:szCs w:val="20"/>
    </w:rPr>
  </w:style>
  <w:style w:type="paragraph" w:styleId="1101">
    <w:name w:val="标题 9"/>
    <w:basedOn w:val="1092"/>
    <w:next w:val="1092"/>
    <w:link w:val="1114"/>
    <w:qFormat/>
    <w:pPr>
      <w:keepLines/>
      <w:keepNext/>
      <w:spacing w:before="240" w:after="64" w:line="320" w:lineRule="atLeast"/>
      <w:outlineLvl w:val="8"/>
    </w:pPr>
    <w:rPr>
      <w:rFonts w:ascii="Arial" w:hAnsi="Arial" w:eastAsia="黑体"/>
      <w:szCs w:val="20"/>
    </w:rPr>
  </w:style>
  <w:style w:type="character" w:styleId="1102">
    <w:name w:val="默认段落字体"/>
    <w:next w:val="1102"/>
    <w:link w:val="1092"/>
    <w:uiPriority w:val="1"/>
    <w:unhideWhenUsed/>
    <w:qFormat/>
  </w:style>
  <w:style w:type="table" w:styleId="1103">
    <w:name w:val="普通表格"/>
    <w:next w:val="1103"/>
    <w:link w:val="1092"/>
    <w:uiPriority w:val="99"/>
    <w:unhideWhenUsed/>
    <w:qFormat/>
    <w:tblPr/>
  </w:style>
  <w:style w:type="character" w:styleId="1104">
    <w:name w:val="标题 1 Char"/>
    <w:next w:val="1104"/>
    <w:link w:val="1093"/>
    <w:qFormat/>
    <w:rPr>
      <w:rFonts w:ascii="宋体"/>
      <w:b/>
      <w:sz w:val="32"/>
    </w:rPr>
  </w:style>
  <w:style w:type="character" w:styleId="1105">
    <w:name w:val="标题 2 Char1"/>
    <w:next w:val="1105"/>
    <w:link w:val="1094"/>
    <w:qFormat/>
    <w:rPr>
      <w:rFonts w:ascii="Arial" w:hAnsi="Arial" w:eastAsia="黑体"/>
      <w:b/>
      <w:sz w:val="30"/>
      <w:lang w:val="en-US" w:eastAsia="zh-CN" w:bidi="ar-SA"/>
    </w:rPr>
  </w:style>
  <w:style w:type="paragraph" w:styleId="1106">
    <w:name w:val="正文缩进"/>
    <w:basedOn w:val="1092"/>
    <w:next w:val="1106"/>
    <w:link w:val="1107"/>
    <w:uiPriority w:val="99"/>
    <w:qFormat/>
    <w:pPr>
      <w:ind w:firstLine="420"/>
      <w:jc w:val="left"/>
    </w:pPr>
    <w:rPr>
      <w:rFonts w:ascii="宋体"/>
      <w:sz w:val="24"/>
    </w:rPr>
  </w:style>
  <w:style w:type="character" w:styleId="1107">
    <w:name w:val="正文缩进 Char1"/>
    <w:next w:val="1107"/>
    <w:link w:val="1106"/>
    <w:qFormat/>
    <w:rPr>
      <w:rFonts w:ascii="宋体" w:eastAsia="宋体"/>
      <w:sz w:val="24"/>
      <w:szCs w:val="24"/>
      <w:lang w:val="en-US" w:eastAsia="zh-CN" w:bidi="ar-SA"/>
    </w:rPr>
  </w:style>
  <w:style w:type="character" w:styleId="1108">
    <w:name w:val="标题 3 Char1"/>
    <w:next w:val="1108"/>
    <w:link w:val="1095"/>
    <w:qFormat/>
    <w:rPr>
      <w:rFonts w:ascii="宋体" w:eastAsia="宋体"/>
      <w:b/>
      <w:sz w:val="24"/>
      <w:u w:val="single"/>
      <w:lang w:val="en-US" w:eastAsia="zh-CN" w:bidi="ar-SA"/>
    </w:rPr>
  </w:style>
  <w:style w:type="character" w:styleId="1109">
    <w:name w:val="标题 4 Char"/>
    <w:next w:val="1109"/>
    <w:link w:val="1096"/>
    <w:qFormat/>
    <w:rPr>
      <w:rFonts w:ascii="Arial" w:hAnsi="Arial" w:eastAsia="黑体"/>
      <w:b/>
      <w:sz w:val="28"/>
    </w:rPr>
  </w:style>
  <w:style w:type="character" w:styleId="1110">
    <w:name w:val="标题 5 Char"/>
    <w:next w:val="1110"/>
    <w:link w:val="1097"/>
    <w:qFormat/>
    <w:rPr>
      <w:b/>
      <w:sz w:val="28"/>
    </w:rPr>
  </w:style>
  <w:style w:type="character" w:styleId="1111">
    <w:name w:val="标题 6 Char"/>
    <w:next w:val="1111"/>
    <w:link w:val="1098"/>
    <w:qFormat/>
    <w:rPr>
      <w:rFonts w:ascii="Arial" w:hAnsi="Arial" w:eastAsia="黑体"/>
      <w:b/>
      <w:sz w:val="24"/>
    </w:rPr>
  </w:style>
  <w:style w:type="character" w:styleId="1112">
    <w:name w:val="标题 7 Char"/>
    <w:next w:val="1112"/>
    <w:link w:val="1099"/>
    <w:qFormat/>
    <w:rPr>
      <w:b/>
      <w:sz w:val="24"/>
    </w:rPr>
  </w:style>
  <w:style w:type="character" w:styleId="1113">
    <w:name w:val="标题 8 Char"/>
    <w:next w:val="1113"/>
    <w:link w:val="1100"/>
    <w:qFormat/>
    <w:rPr>
      <w:rFonts w:ascii="Arial" w:hAnsi="Arial" w:eastAsia="黑体"/>
      <w:sz w:val="24"/>
    </w:rPr>
  </w:style>
  <w:style w:type="character" w:styleId="1114">
    <w:name w:val="标题 9 Char"/>
    <w:next w:val="1114"/>
    <w:link w:val="1101"/>
    <w:qFormat/>
    <w:rPr>
      <w:rFonts w:ascii="Arial" w:hAnsi="Arial" w:eastAsia="黑体"/>
      <w:sz w:val="21"/>
    </w:rPr>
  </w:style>
  <w:style w:type="paragraph" w:styleId="1115">
    <w:name w:val="目录 7"/>
    <w:basedOn w:val="1092"/>
    <w:next w:val="1092"/>
    <w:link w:val="1092"/>
    <w:qFormat/>
    <w:pPr>
      <w:ind w:left="2520"/>
    </w:pPr>
  </w:style>
  <w:style w:type="paragraph" w:styleId="1116">
    <w:name w:val="题注"/>
    <w:basedOn w:val="1092"/>
    <w:next w:val="1092"/>
    <w:link w:val="1092"/>
    <w:qFormat/>
    <w:pPr>
      <w:spacing w:line="480" w:lineRule="auto"/>
    </w:pPr>
    <w:rPr>
      <w:rFonts w:ascii="华文中宋" w:hAnsi="华文中宋" w:eastAsia="华文中宋"/>
      <w:sz w:val="36"/>
      <w:szCs w:val="20"/>
    </w:rPr>
  </w:style>
  <w:style w:type="paragraph" w:styleId="1117">
    <w:name w:val="文档结构图"/>
    <w:basedOn w:val="1092"/>
    <w:next w:val="1117"/>
    <w:link w:val="1118"/>
    <w:qFormat/>
    <w:pPr>
      <w:shd w:val="clear" w:color="auto" w:fill="000080"/>
    </w:pPr>
  </w:style>
  <w:style w:type="character" w:styleId="1118">
    <w:name w:val="文档结构图 Char"/>
    <w:next w:val="1118"/>
    <w:link w:val="1117"/>
    <w:qFormat/>
    <w:rPr>
      <w:sz w:val="21"/>
      <w:szCs w:val="24"/>
      <w:shd w:val="clear" w:color="auto" w:fill="000080"/>
    </w:rPr>
  </w:style>
  <w:style w:type="paragraph" w:styleId="1119">
    <w:name w:val="批注文字"/>
    <w:basedOn w:val="1092"/>
    <w:next w:val="1119"/>
    <w:link w:val="1120"/>
    <w:uiPriority w:val="99"/>
    <w:qFormat/>
    <w:pPr>
      <w:jc w:val="left"/>
    </w:pPr>
  </w:style>
  <w:style w:type="character" w:styleId="1120">
    <w:name w:val="批注文字 Char1"/>
    <w:next w:val="1120"/>
    <w:link w:val="1119"/>
    <w:uiPriority w:val="99"/>
    <w:qFormat/>
    <w:rPr>
      <w:sz w:val="21"/>
      <w:szCs w:val="24"/>
    </w:rPr>
  </w:style>
  <w:style w:type="paragraph" w:styleId="1121">
    <w:name w:val="正文文本 3"/>
    <w:basedOn w:val="1092"/>
    <w:next w:val="1121"/>
    <w:link w:val="1122"/>
    <w:qFormat/>
    <w:pPr>
      <w:spacing w:after="120"/>
    </w:pPr>
    <w:rPr>
      <w:sz w:val="16"/>
      <w:szCs w:val="16"/>
    </w:rPr>
  </w:style>
  <w:style w:type="character" w:styleId="1122">
    <w:name w:val="正文文本 3 Char"/>
    <w:next w:val="1122"/>
    <w:link w:val="1121"/>
    <w:qFormat/>
    <w:rPr>
      <w:sz w:val="16"/>
      <w:szCs w:val="16"/>
    </w:rPr>
  </w:style>
  <w:style w:type="paragraph" w:styleId="1123">
    <w:name w:val="正文文本"/>
    <w:basedOn w:val="1092"/>
    <w:next w:val="1123"/>
    <w:link w:val="1124"/>
    <w:qFormat/>
    <w:pPr>
      <w:spacing w:before="120" w:line="22" w:lineRule="atLeast"/>
      <w:tabs>
        <w:tab w:val="left" w:pos="567" w:leader="none"/>
      </w:tabs>
    </w:pPr>
    <w:rPr>
      <w:rFonts w:ascii="宋体" w:hAnsi="宋体"/>
      <w:sz w:val="24"/>
    </w:rPr>
  </w:style>
  <w:style w:type="character" w:styleId="1124">
    <w:name w:val="正文文本 Char"/>
    <w:next w:val="1124"/>
    <w:link w:val="1123"/>
    <w:qFormat/>
    <w:rPr>
      <w:rFonts w:ascii="宋体" w:hAnsi="宋体"/>
      <w:sz w:val="24"/>
      <w:szCs w:val="24"/>
    </w:rPr>
  </w:style>
  <w:style w:type="paragraph" w:styleId="1125">
    <w:name w:val="正文文本缩进"/>
    <w:basedOn w:val="1092"/>
    <w:next w:val="1125"/>
    <w:link w:val="1126"/>
    <w:qFormat/>
    <w:pPr>
      <w:ind w:firstLine="570"/>
      <w:spacing w:line="360" w:lineRule="auto"/>
    </w:pPr>
    <w:rPr>
      <w:sz w:val="24"/>
    </w:rPr>
  </w:style>
  <w:style w:type="character" w:styleId="1126">
    <w:name w:val="正文文本缩进 Char2"/>
    <w:next w:val="1126"/>
    <w:link w:val="1125"/>
    <w:qFormat/>
    <w:rPr>
      <w:rFonts w:eastAsia="宋体"/>
      <w:sz w:val="24"/>
      <w:szCs w:val="24"/>
      <w:lang w:val="en-US" w:eastAsia="zh-CN" w:bidi="ar-SA"/>
    </w:rPr>
  </w:style>
  <w:style w:type="paragraph" w:styleId="1127">
    <w:name w:val="列表 2"/>
    <w:basedOn w:val="1092"/>
    <w:next w:val="1127"/>
    <w:link w:val="1092"/>
    <w:qFormat/>
    <w:pPr>
      <w:ind w:left="100" w:hanging="200"/>
    </w:pPr>
  </w:style>
  <w:style w:type="paragraph" w:styleId="1128">
    <w:name w:val="文本块"/>
    <w:basedOn w:val="1092"/>
    <w:next w:val="1128"/>
    <w:link w:val="1092"/>
    <w:qFormat/>
    <w:pPr>
      <w:ind w:left="480" w:right="-341" w:firstLine="513"/>
      <w:widowControl/>
    </w:pPr>
    <w:rPr>
      <w:sz w:val="24"/>
      <w:szCs w:val="20"/>
    </w:rPr>
  </w:style>
  <w:style w:type="paragraph" w:styleId="1129">
    <w:name w:val="目录 5"/>
    <w:basedOn w:val="1092"/>
    <w:next w:val="1092"/>
    <w:link w:val="1092"/>
    <w:qFormat/>
    <w:pPr>
      <w:ind w:left="1680"/>
    </w:pPr>
  </w:style>
  <w:style w:type="paragraph" w:styleId="1130">
    <w:name w:val="目录 3"/>
    <w:basedOn w:val="1092"/>
    <w:next w:val="1092"/>
    <w:link w:val="1092"/>
    <w:uiPriority w:val="39"/>
    <w:qFormat/>
    <w:pPr>
      <w:ind w:left="840"/>
    </w:pPr>
  </w:style>
  <w:style w:type="paragraph" w:styleId="1131">
    <w:name w:val="纯文本"/>
    <w:basedOn w:val="1092"/>
    <w:next w:val="1131"/>
    <w:link w:val="1132"/>
    <w:uiPriority w:val="99"/>
    <w:qFormat/>
    <w:rPr>
      <w:rFonts w:hint="eastAsia" w:ascii="宋体" w:hAnsi="Courier New"/>
      <w:szCs w:val="20"/>
    </w:rPr>
  </w:style>
  <w:style w:type="character" w:styleId="1132">
    <w:name w:val="纯文本 Char"/>
    <w:next w:val="1132"/>
    <w:link w:val="1131"/>
    <w:qFormat/>
    <w:rPr>
      <w:rFonts w:hint="eastAsia" w:ascii="宋体" w:hAnsi="Courier New" w:eastAsia="宋体" w:cs="宋体"/>
      <w:sz w:val="21"/>
    </w:rPr>
  </w:style>
  <w:style w:type="paragraph" w:styleId="1133">
    <w:name w:val="目录 8"/>
    <w:basedOn w:val="1092"/>
    <w:next w:val="1092"/>
    <w:link w:val="1092"/>
    <w:qFormat/>
    <w:pPr>
      <w:ind w:left="2940"/>
    </w:pPr>
  </w:style>
  <w:style w:type="paragraph" w:styleId="1134">
    <w:name w:val="日期"/>
    <w:basedOn w:val="1092"/>
    <w:next w:val="1092"/>
    <w:link w:val="1135"/>
    <w:qFormat/>
    <w:pPr>
      <w:ind w:left="100"/>
    </w:pPr>
    <w:rPr>
      <w:rFonts w:ascii="仿宋_GB2312" w:hAnsi="宋体" w:eastAsia="仿宋_GB2312"/>
      <w:color w:val="000000"/>
      <w:sz w:val="24"/>
    </w:rPr>
  </w:style>
  <w:style w:type="character" w:styleId="1135">
    <w:name w:val="日期 Char"/>
    <w:next w:val="1135"/>
    <w:link w:val="1134"/>
    <w:qFormat/>
    <w:rPr>
      <w:rFonts w:ascii="仿宋_GB2312" w:hAnsi="宋体" w:eastAsia="仿宋_GB2312"/>
      <w:color w:val="000000"/>
      <w:sz w:val="24"/>
      <w:szCs w:val="24"/>
    </w:rPr>
  </w:style>
  <w:style w:type="paragraph" w:styleId="1136">
    <w:name w:val="正文文本缩进 2"/>
    <w:basedOn w:val="1092"/>
    <w:next w:val="1136"/>
    <w:link w:val="1137"/>
    <w:qFormat/>
    <w:pPr>
      <w:ind w:firstLine="480"/>
    </w:pPr>
    <w:rPr>
      <w:rFonts w:ascii="仿宋_GB2312" w:eastAsia="仿宋_GB2312"/>
      <w:sz w:val="24"/>
    </w:rPr>
  </w:style>
  <w:style w:type="character" w:styleId="1137">
    <w:name w:val="正文文本缩进 2 Char"/>
    <w:next w:val="1137"/>
    <w:link w:val="1136"/>
    <w:qFormat/>
    <w:rPr>
      <w:rFonts w:ascii="仿宋_GB2312" w:eastAsia="仿宋_GB2312"/>
      <w:sz w:val="24"/>
      <w:szCs w:val="24"/>
    </w:rPr>
  </w:style>
  <w:style w:type="paragraph" w:styleId="1138">
    <w:name w:val="批注框文本"/>
    <w:basedOn w:val="1092"/>
    <w:next w:val="1138"/>
    <w:link w:val="1139"/>
    <w:qFormat/>
    <w:rPr>
      <w:sz w:val="18"/>
      <w:szCs w:val="18"/>
    </w:rPr>
  </w:style>
  <w:style w:type="character" w:styleId="1139">
    <w:name w:val="批注框文本 Char"/>
    <w:next w:val="1139"/>
    <w:link w:val="1138"/>
    <w:qFormat/>
    <w:rPr>
      <w:sz w:val="18"/>
      <w:szCs w:val="18"/>
    </w:rPr>
  </w:style>
  <w:style w:type="paragraph" w:styleId="1140">
    <w:name w:val="页脚"/>
    <w:basedOn w:val="1092"/>
    <w:next w:val="1140"/>
    <w:link w:val="1141"/>
    <w:uiPriority w:val="99"/>
    <w:qFormat/>
    <w:pPr>
      <w:jc w:val="left"/>
      <w:tabs>
        <w:tab w:val="center" w:pos="4153" w:leader="none"/>
        <w:tab w:val="right" w:pos="8306" w:leader="none"/>
      </w:tabs>
    </w:pPr>
    <w:rPr>
      <w:rFonts w:ascii="宋体"/>
      <w:sz w:val="18"/>
      <w:szCs w:val="20"/>
    </w:rPr>
  </w:style>
  <w:style w:type="character" w:styleId="1141">
    <w:name w:val="页脚 Char1"/>
    <w:next w:val="1141"/>
    <w:link w:val="1140"/>
    <w:uiPriority w:val="99"/>
    <w:qFormat/>
    <w:rPr>
      <w:rFonts w:ascii="宋体" w:eastAsia="宋体"/>
      <w:sz w:val="18"/>
      <w:lang w:val="en-US" w:eastAsia="zh-CN" w:bidi="ar-SA"/>
    </w:rPr>
  </w:style>
  <w:style w:type="paragraph" w:styleId="1142">
    <w:name w:val="页眉"/>
    <w:basedOn w:val="1092"/>
    <w:next w:val="1142"/>
    <w:link w:val="1143"/>
    <w:qFormat/>
    <w:pPr>
      <w:jc w:val="center"/>
      <w:tabs>
        <w:tab w:val="center" w:pos="4153" w:leader="none"/>
        <w:tab w:val="right" w:pos="8306" w:leader="none"/>
      </w:tabs>
      <w:pBdr>
        <w:bottom w:val="single" w:color="000000" w:sz="6" w:space="1"/>
      </w:pBdr>
    </w:pPr>
    <w:rPr>
      <w:sz w:val="18"/>
      <w:szCs w:val="18"/>
    </w:rPr>
  </w:style>
  <w:style w:type="character" w:styleId="1143">
    <w:name w:val="页眉 Char1"/>
    <w:next w:val="1143"/>
    <w:link w:val="1142"/>
    <w:qFormat/>
    <w:rPr>
      <w:rFonts w:eastAsia="宋体"/>
      <w:sz w:val="18"/>
      <w:szCs w:val="18"/>
      <w:lang w:val="en-US" w:eastAsia="zh-CN" w:bidi="ar-SA"/>
    </w:rPr>
  </w:style>
  <w:style w:type="paragraph" w:styleId="1144">
    <w:name w:val="目录 1"/>
    <w:basedOn w:val="1092"/>
    <w:next w:val="1092"/>
    <w:link w:val="1092"/>
    <w:uiPriority w:val="39"/>
    <w:qFormat/>
    <w:pPr>
      <w:spacing w:line="300" w:lineRule="auto"/>
      <w:tabs>
        <w:tab w:val="left" w:pos="1050" w:leader="none"/>
        <w:tab w:val="right" w:pos="8937" w:leader="dot"/>
      </w:tabs>
    </w:pPr>
    <w:rPr>
      <w:rFonts w:ascii="宋体" w:hAnsi="宋体"/>
      <w:b/>
      <w:sz w:val="24"/>
    </w:rPr>
  </w:style>
  <w:style w:type="paragraph" w:styleId="1145">
    <w:name w:val="目录 4"/>
    <w:basedOn w:val="1092"/>
    <w:next w:val="1092"/>
    <w:link w:val="1092"/>
    <w:qFormat/>
    <w:pPr>
      <w:ind w:left="1260"/>
    </w:pPr>
  </w:style>
  <w:style w:type="paragraph" w:styleId="1146">
    <w:name w:val="目录 6"/>
    <w:basedOn w:val="1092"/>
    <w:next w:val="1092"/>
    <w:link w:val="1092"/>
    <w:qFormat/>
    <w:pPr>
      <w:ind w:left="2100"/>
    </w:pPr>
  </w:style>
  <w:style w:type="paragraph" w:styleId="1147">
    <w:name w:val="正文文本缩进 3"/>
    <w:basedOn w:val="1092"/>
    <w:next w:val="1147"/>
    <w:link w:val="1148"/>
    <w:qFormat/>
    <w:pPr>
      <w:ind w:left="720" w:firstLine="480"/>
      <w:jc w:val="left"/>
      <w:spacing w:before="120" w:line="22" w:lineRule="atLeast"/>
    </w:pPr>
    <w:rPr>
      <w:rFonts w:ascii="宋体"/>
      <w:sz w:val="24"/>
      <w:szCs w:val="20"/>
    </w:rPr>
  </w:style>
  <w:style w:type="character" w:styleId="1148">
    <w:name w:val="正文文本缩进 3 Char"/>
    <w:next w:val="1148"/>
    <w:link w:val="1147"/>
    <w:qFormat/>
    <w:rPr>
      <w:rFonts w:ascii="宋体"/>
      <w:sz w:val="24"/>
    </w:rPr>
  </w:style>
  <w:style w:type="paragraph" w:styleId="1149">
    <w:name w:val="目录 2"/>
    <w:basedOn w:val="1092"/>
    <w:next w:val="1092"/>
    <w:link w:val="1092"/>
    <w:uiPriority w:val="39"/>
    <w:qFormat/>
    <w:pPr>
      <w:ind w:left="420"/>
      <w:spacing w:line="312" w:lineRule="auto"/>
      <w:tabs>
        <w:tab w:val="right" w:pos="8937" w:leader="dot"/>
      </w:tabs>
    </w:pPr>
  </w:style>
  <w:style w:type="paragraph" w:styleId="1150">
    <w:name w:val="目录 9"/>
    <w:basedOn w:val="1092"/>
    <w:next w:val="1092"/>
    <w:link w:val="1092"/>
    <w:qFormat/>
    <w:pPr>
      <w:ind w:left="3360"/>
    </w:pPr>
  </w:style>
  <w:style w:type="paragraph" w:styleId="1151">
    <w:name w:val="HTML 预设格式"/>
    <w:basedOn w:val="1092"/>
    <w:next w:val="1151"/>
    <w:link w:val="11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52">
    <w:name w:val="HTML 预设格式 Char"/>
    <w:next w:val="1152"/>
    <w:link w:val="1151"/>
    <w:qFormat/>
    <w:rPr>
      <w:rFonts w:ascii="宋体" w:hAnsi="宋体" w:cs="宋体"/>
      <w:sz w:val="24"/>
      <w:szCs w:val="24"/>
    </w:rPr>
  </w:style>
  <w:style w:type="paragraph" w:styleId="1153">
    <w:name w:val="普通(网站)"/>
    <w:basedOn w:val="1092"/>
    <w:next w:val="1153"/>
    <w:link w:val="1092"/>
    <w:uiPriority w:val="99"/>
    <w:unhideWhenUsed/>
    <w:qFormat/>
    <w:pPr>
      <w:jc w:val="left"/>
      <w:spacing w:before="100" w:beforeAutospacing="1" w:after="100" w:afterAutospacing="1"/>
      <w:widowControl/>
    </w:pPr>
    <w:rPr>
      <w:rFonts w:ascii="宋体" w:hAnsi="宋体" w:cs="宋体"/>
      <w:sz w:val="24"/>
    </w:rPr>
  </w:style>
  <w:style w:type="paragraph" w:styleId="1154">
    <w:name w:val="索引 1"/>
    <w:basedOn w:val="1092"/>
    <w:next w:val="1092"/>
    <w:link w:val="1092"/>
    <w:qFormat/>
    <w:rPr>
      <w:szCs w:val="20"/>
    </w:rPr>
  </w:style>
  <w:style w:type="paragraph" w:styleId="1155">
    <w:name w:val="标题"/>
    <w:basedOn w:val="1092"/>
    <w:next w:val="1155"/>
    <w:link w:val="1156"/>
    <w:qFormat/>
    <w:pPr>
      <w:jc w:val="center"/>
      <w:outlineLvl w:val="0"/>
    </w:pPr>
    <w:rPr>
      <w:b/>
      <w:sz w:val="32"/>
      <w:szCs w:val="20"/>
    </w:rPr>
  </w:style>
  <w:style w:type="character" w:styleId="1156">
    <w:name w:val="标题 Char1"/>
    <w:next w:val="1156"/>
    <w:link w:val="1155"/>
    <w:qFormat/>
    <w:rPr>
      <w:b/>
      <w:sz w:val="32"/>
    </w:rPr>
  </w:style>
  <w:style w:type="paragraph" w:styleId="1157">
    <w:name w:val="批注主题"/>
    <w:basedOn w:val="1119"/>
    <w:next w:val="1119"/>
    <w:link w:val="1158"/>
    <w:qFormat/>
    <w:rPr>
      <w:b/>
      <w:bCs/>
    </w:rPr>
  </w:style>
  <w:style w:type="character" w:styleId="1158">
    <w:name w:val="批注主题 Char"/>
    <w:next w:val="1158"/>
    <w:link w:val="1157"/>
    <w:qFormat/>
    <w:rPr>
      <w:rFonts w:ascii="Times New Roman" w:hAnsi="Times New Roman" w:eastAsia="宋体" w:cs="Times New Roman"/>
      <w:b/>
      <w:bCs/>
      <w:sz w:val="21"/>
      <w:szCs w:val="24"/>
      <w:lang w:val="en-US" w:eastAsia="zh-CN" w:bidi="ar-SA"/>
    </w:rPr>
  </w:style>
  <w:style w:type="paragraph" w:styleId="1159">
    <w:name w:val="正文首行缩进 2"/>
    <w:basedOn w:val="1125"/>
    <w:next w:val="1159"/>
    <w:link w:val="1160"/>
    <w:qFormat/>
    <w:pPr>
      <w:ind w:left="420" w:firstLine="420"/>
      <w:spacing w:after="120" w:line="480" w:lineRule="exact"/>
    </w:pPr>
    <w:rPr>
      <w:szCs w:val="20"/>
    </w:rPr>
  </w:style>
  <w:style w:type="character" w:styleId="1160">
    <w:name w:val="正文首行缩进 2 Char"/>
    <w:next w:val="1160"/>
    <w:link w:val="1159"/>
    <w:qFormat/>
    <w:rPr>
      <w:rFonts w:eastAsia="宋体"/>
      <w:sz w:val="24"/>
      <w:szCs w:val="24"/>
      <w:lang w:val="en-US" w:eastAsia="zh-CN" w:bidi="ar-SA"/>
    </w:rPr>
  </w:style>
  <w:style w:type="table" w:styleId="1161">
    <w:name w:val="网格型"/>
    <w:basedOn w:val="1103"/>
    <w:next w:val="1161"/>
    <w:link w:val="1092"/>
    <w:uiPriority w:val="39"/>
    <w:qFormat/>
    <w:tblPr/>
  </w:style>
  <w:style w:type="table" w:styleId="1162">
    <w:name w:val="中等深浅网格 1 - 强调文字颜色 2"/>
    <w:basedOn w:val="1103"/>
    <w:next w:val="1162"/>
    <w:link w:val="1092"/>
    <w:qFormat/>
    <w:rPr>
      <w:sz w:val="21"/>
      <w:szCs w:val="24"/>
    </w:rPr>
    <w:tblPr/>
  </w:style>
  <w:style w:type="character" w:styleId="1163">
    <w:name w:val="要点"/>
    <w:next w:val="1163"/>
    <w:link w:val="1092"/>
    <w:qFormat/>
    <w:rPr>
      <w:b/>
      <w:bCs/>
    </w:rPr>
  </w:style>
  <w:style w:type="character" w:styleId="1164">
    <w:name w:val="页码"/>
    <w:next w:val="1164"/>
    <w:link w:val="1092"/>
    <w:qFormat/>
  </w:style>
  <w:style w:type="character" w:styleId="1165">
    <w:name w:val="已访问的超链接"/>
    <w:next w:val="1165"/>
    <w:link w:val="1092"/>
    <w:qFormat/>
    <w:rPr>
      <w:color w:val="800080"/>
      <w:u w:val="single"/>
    </w:rPr>
  </w:style>
  <w:style w:type="character" w:styleId="1166">
    <w:name w:val="强调"/>
    <w:next w:val="1166"/>
    <w:link w:val="1092"/>
    <w:qFormat/>
    <w:rPr>
      <w:color w:val="cc0033"/>
    </w:rPr>
  </w:style>
  <w:style w:type="character" w:styleId="1167">
    <w:name w:val="超链接"/>
    <w:next w:val="1167"/>
    <w:link w:val="1092"/>
    <w:uiPriority w:val="99"/>
    <w:qFormat/>
    <w:rPr>
      <w:color w:val="0000ff"/>
      <w:u w:val="single"/>
    </w:rPr>
  </w:style>
  <w:style w:type="character" w:styleId="1168">
    <w:name w:val="批注引用"/>
    <w:next w:val="1168"/>
    <w:link w:val="1092"/>
    <w:uiPriority w:val="99"/>
    <w:qFormat/>
    <w:rPr>
      <w:sz w:val="21"/>
      <w:szCs w:val="21"/>
    </w:rPr>
  </w:style>
  <w:style w:type="character" w:styleId="1169">
    <w:name w:val="HTML 引文"/>
    <w:next w:val="1169"/>
    <w:link w:val="1092"/>
    <w:qFormat/>
    <w:rPr>
      <w:i/>
      <w:iCs/>
    </w:rPr>
  </w:style>
  <w:style w:type="character" w:styleId="1170">
    <w:name w:val="批注文字 字符"/>
    <w:next w:val="1170"/>
    <w:link w:val="1092"/>
    <w:uiPriority w:val="99"/>
    <w:qFormat/>
    <w:rPr>
      <w:rFonts w:ascii="Times New Roman" w:hAnsi="Times New Roman" w:eastAsia="宋体" w:cs="Times New Roman"/>
      <w:sz w:val="24"/>
      <w:lang w:val="en-US" w:eastAsia="zh-CN" w:bidi="ar-SA"/>
    </w:rPr>
  </w:style>
  <w:style w:type="character" w:styleId="1171">
    <w:name w:val="c21"/>
    <w:next w:val="1171"/>
    <w:link w:val="1092"/>
    <w:qFormat/>
    <w:rPr>
      <w:rFonts w:ascii="ˎ̥" w:hAnsi="ˎ̥"/>
      <w:color w:val="000000"/>
      <w:sz w:val="20"/>
      <w:szCs w:val="20"/>
      <w:u w:val="none"/>
    </w:rPr>
  </w:style>
  <w:style w:type="character" w:styleId="1172">
    <w:name w:val="title4"/>
    <w:next w:val="1172"/>
    <w:link w:val="1092"/>
    <w:qFormat/>
    <w:rPr>
      <w:b/>
      <w:bCs/>
      <w:color w:val="1d87b3"/>
      <w:sz w:val="15"/>
      <w:szCs w:val="15"/>
    </w:rPr>
  </w:style>
  <w:style w:type="character" w:styleId="1173">
    <w:name w:val="标题 2 Char Char"/>
    <w:next w:val="1173"/>
    <w:link w:val="1092"/>
    <w:qFormat/>
    <w:rPr>
      <w:rFonts w:ascii="Arial" w:hAnsi="Arial" w:eastAsia="黑体"/>
      <w:b/>
      <w:bCs/>
      <w:sz w:val="32"/>
      <w:szCs w:val="32"/>
      <w:lang w:val="en-US" w:eastAsia="zh-CN" w:bidi="ar-SA"/>
    </w:rPr>
  </w:style>
  <w:style w:type="character" w:styleId="1174">
    <w:name w:val="black1"/>
    <w:next w:val="1174"/>
    <w:link w:val="1092"/>
    <w:qFormat/>
    <w:rPr>
      <w:color w:val="000000"/>
    </w:rPr>
  </w:style>
  <w:style w:type="character" w:styleId="1175">
    <w:name w:val="street-address"/>
    <w:next w:val="1175"/>
    <w:link w:val="1092"/>
    <w:qFormat/>
  </w:style>
  <w:style w:type="character" w:styleId="1176">
    <w:name w:val="locality"/>
    <w:next w:val="1176"/>
    <w:link w:val="1092"/>
    <w:qFormat/>
  </w:style>
  <w:style w:type="character" w:styleId="1177">
    <w:name w:val="正文文本缩进 Char1"/>
    <w:next w:val="1177"/>
    <w:link w:val="1178"/>
    <w:qFormat/>
    <w:rPr>
      <w:rFonts w:ascii="宋体" w:hAnsi="宋体" w:eastAsia="宋体"/>
      <w:sz w:val="24"/>
      <w:szCs w:val="24"/>
      <w:lang w:bidi="ar-SA"/>
    </w:rPr>
  </w:style>
  <w:style w:type="paragraph" w:styleId="1178">
    <w:name w:val="正文文本缩进1"/>
    <w:basedOn w:val="1092"/>
    <w:next w:val="1178"/>
    <w:link w:val="1177"/>
    <w:qFormat/>
    <w:pPr>
      <w:ind w:firstLine="480"/>
      <w:spacing w:line="480" w:lineRule="exact"/>
    </w:pPr>
    <w:rPr>
      <w:rFonts w:ascii="宋体" w:hAnsi="宋体"/>
      <w:sz w:val="24"/>
    </w:rPr>
  </w:style>
  <w:style w:type="character" w:styleId="1179">
    <w:name w:val="Char Char11"/>
    <w:next w:val="1179"/>
    <w:link w:val="1092"/>
    <w:qFormat/>
    <w:rPr>
      <w:rFonts w:ascii="宋体" w:eastAsia="宋体"/>
      <w:b/>
      <w:sz w:val="24"/>
      <w:u w:val="single"/>
      <w:lang w:val="en-US" w:eastAsia="zh-CN" w:bidi="ar-SA"/>
    </w:rPr>
  </w:style>
  <w:style w:type="character" w:styleId="1180">
    <w:name w:val="txt"/>
    <w:next w:val="1180"/>
    <w:link w:val="1092"/>
    <w:qFormat/>
  </w:style>
  <w:style w:type="character" w:styleId="1181">
    <w:name w:val="正文缩进 Char Char"/>
    <w:next w:val="1181"/>
    <w:link w:val="1182"/>
    <w:qFormat/>
    <w:rPr>
      <w:rFonts w:ascii="宋体" w:eastAsia="宋体"/>
      <w:color w:val="000000"/>
      <w:sz w:val="28"/>
      <w:lang w:bidi="ar-SA"/>
    </w:rPr>
  </w:style>
  <w:style w:type="paragraph" w:styleId="1182">
    <w:name w:val="正文缩进1"/>
    <w:basedOn w:val="1092"/>
    <w:next w:val="1182"/>
    <w:link w:val="1181"/>
    <w:qFormat/>
    <w:pPr>
      <w:ind w:firstLine="567"/>
      <w:spacing w:line="480" w:lineRule="exact"/>
      <w:widowControl/>
    </w:pPr>
    <w:rPr>
      <w:rFonts w:ascii="宋体"/>
      <w:color w:val="000000"/>
      <w:sz w:val="28"/>
      <w:szCs w:val="20"/>
    </w:rPr>
  </w:style>
  <w:style w:type="character" w:styleId="1183">
    <w:name w:val="普通文字1 Char1"/>
    <w:next w:val="1183"/>
    <w:link w:val="1092"/>
    <w:qFormat/>
    <w:rPr>
      <w:rFonts w:ascii="宋体" w:hAnsi="Courier New" w:eastAsia="宋体"/>
      <w:sz w:val="21"/>
      <w:lang w:val="en-US" w:eastAsia="zh-CN" w:bidi="ar-SA"/>
    </w:rPr>
  </w:style>
  <w:style w:type="character" w:styleId="1184">
    <w:name w:val="chanpin1"/>
    <w:next w:val="1184"/>
    <w:link w:val="1092"/>
    <w:qFormat/>
    <w:rPr>
      <w:rFonts w:ascii="ˎ̥" w:hAnsi="ˎ̥"/>
      <w:color w:val="000000"/>
      <w:sz w:val="20"/>
      <w:szCs w:val="20"/>
      <w:u w:val="none"/>
    </w:rPr>
  </w:style>
  <w:style w:type="character" w:styleId="1185">
    <w:name w:val="列出段落 Char1"/>
    <w:next w:val="1185"/>
    <w:link w:val="1186"/>
    <w:uiPriority w:val="34"/>
    <w:qFormat/>
    <w:rPr>
      <w:rFonts w:ascii="Calibri" w:hAnsi="Calibri" w:eastAsia="宋体"/>
      <w:sz w:val="21"/>
      <w:szCs w:val="22"/>
      <w:lang w:val="en-US" w:eastAsia="zh-CN" w:bidi="ar-SA"/>
    </w:rPr>
  </w:style>
  <w:style w:type="paragraph" w:styleId="1186">
    <w:name w:val="列出段落"/>
    <w:basedOn w:val="1092"/>
    <w:next w:val="1186"/>
    <w:link w:val="1185"/>
    <w:uiPriority w:val="34"/>
    <w:qFormat/>
    <w:pPr>
      <w:ind w:firstLine="420"/>
    </w:pPr>
    <w:rPr>
      <w:rFonts w:ascii="Calibri" w:hAnsi="Calibri"/>
      <w:szCs w:val="22"/>
    </w:rPr>
  </w:style>
  <w:style w:type="character" w:styleId="1187">
    <w:name w:val="标题 3 Char Char"/>
    <w:next w:val="1187"/>
    <w:link w:val="1092"/>
    <w:qFormat/>
    <w:rPr>
      <w:rFonts w:eastAsia="宋体"/>
      <w:b/>
      <w:bCs/>
      <w:sz w:val="32"/>
      <w:szCs w:val="32"/>
      <w:lang w:val="en-US" w:eastAsia="zh-CN" w:bidi="ar-SA"/>
    </w:rPr>
  </w:style>
  <w:style w:type="character" w:styleId="1188">
    <w:name w:val="段1 Char"/>
    <w:next w:val="1188"/>
    <w:link w:val="1092"/>
    <w:qFormat/>
    <w:rPr>
      <w:rFonts w:ascii="宋体" w:eastAsia="宋体"/>
      <w:sz w:val="24"/>
      <w:lang w:val="en-US" w:eastAsia="zh-CN" w:bidi="ar-SA"/>
    </w:rPr>
  </w:style>
  <w:style w:type="character" w:styleId="1189">
    <w:name w:val="chanpin拷贝"/>
    <w:next w:val="1189"/>
    <w:link w:val="1092"/>
    <w:qFormat/>
  </w:style>
  <w:style w:type="character" w:styleId="1190">
    <w:name w:val="纯文本 Char1"/>
    <w:next w:val="1190"/>
    <w:link w:val="1092"/>
    <w:uiPriority w:val="99"/>
    <w:qFormat/>
    <w:rPr>
      <w:rFonts w:ascii="宋体" w:hAnsi="Courier New" w:eastAsia="宋体"/>
      <w:sz w:val="21"/>
      <w:lang w:val="en-US" w:eastAsia="zh-CN" w:bidi="ar-SA"/>
    </w:rPr>
  </w:style>
  <w:style w:type="character" w:styleId="1191">
    <w:name w:val="apple-style-span"/>
    <w:next w:val="1191"/>
    <w:link w:val="1092"/>
    <w:qFormat/>
    <w:rPr>
      <w:rFonts w:cs="Times New Roman"/>
    </w:rPr>
  </w:style>
  <w:style w:type="paragraph" w:styleId="1192">
    <w:name w:val="二级条标题"/>
    <w:basedOn w:val="1193"/>
    <w:next w:val="1092"/>
    <w:link w:val="1092"/>
    <w:qFormat/>
    <w:pPr>
      <w:numPr>
        <w:ilvl w:val="0"/>
        <w:numId w:val="0"/>
      </w:numPr>
      <w:ind w:hanging="840"/>
      <w:tabs>
        <w:tab w:val="left" w:pos="360" w:leader="none"/>
        <w:tab w:val="left" w:pos="840" w:leader="none"/>
      </w:tabs>
      <w:outlineLvl w:val="2"/>
    </w:pPr>
    <w:rPr>
      <w:rFonts w:ascii="宋体" w:eastAsia="宋体"/>
      <w:b w:val="0"/>
    </w:rPr>
  </w:style>
  <w:style w:type="paragraph" w:styleId="1193">
    <w:name w:val="一级条标题"/>
    <w:basedOn w:val="1194"/>
    <w:next w:val="1092"/>
    <w:link w:val="1092"/>
    <w:qFormat/>
    <w:pPr>
      <w:numPr>
        <w:ilvl w:val="1"/>
      </w:numPr>
      <w:ind w:left="0" w:hanging="840"/>
      <w:tabs>
        <w:tab w:val="left" w:pos="360" w:leader="none"/>
        <w:tab w:val="left" w:pos="840" w:leader="none"/>
      </w:tabs>
      <w:outlineLvl w:val="1"/>
    </w:pPr>
  </w:style>
  <w:style w:type="paragraph" w:styleId="1194">
    <w:name w:val="章标题"/>
    <w:next w:val="1092"/>
    <w:link w:val="109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5">
    <w:name w:val="font7"/>
    <w:basedOn w:val="1092"/>
    <w:next w:val="1195"/>
    <w:link w:val="1092"/>
    <w:qFormat/>
    <w:pPr>
      <w:jc w:val="left"/>
      <w:spacing w:before="100" w:beforeAutospacing="1" w:after="100" w:afterAutospacing="1"/>
      <w:widowControl/>
    </w:pPr>
    <w:rPr>
      <w:rFonts w:eastAsia="Arial Unicode MS"/>
      <w:b/>
      <w:bCs/>
      <w:color w:val="000000"/>
      <w:sz w:val="20"/>
      <w:szCs w:val="20"/>
    </w:rPr>
  </w:style>
  <w:style w:type="paragraph" w:styleId="1196">
    <w:name w:val="字元 字元"/>
    <w:basedOn w:val="1092"/>
    <w:next w:val="1196"/>
    <w:link w:val="1092"/>
    <w:qFormat/>
    <w:rPr>
      <w:rFonts w:ascii="Tahoma" w:hAnsi="Tahoma"/>
      <w:sz w:val="24"/>
      <w:szCs w:val="20"/>
    </w:rPr>
  </w:style>
  <w:style w:type="paragraph" w:styleId="1197">
    <w:name w:val="Char3 Char Char Char"/>
    <w:basedOn w:val="1092"/>
    <w:next w:val="1197"/>
    <w:link w:val="1092"/>
    <w:qFormat/>
    <w:rPr>
      <w:rFonts w:ascii="Tahoma" w:hAnsi="Tahoma"/>
      <w:sz w:val="24"/>
      <w:szCs w:val="20"/>
    </w:rPr>
  </w:style>
  <w:style w:type="paragraph" w:styleId="1198">
    <w:name w:val="font6"/>
    <w:basedOn w:val="1092"/>
    <w:next w:val="1198"/>
    <w:link w:val="1092"/>
    <w:qFormat/>
    <w:pPr>
      <w:jc w:val="left"/>
      <w:spacing w:before="100" w:beforeAutospacing="1" w:after="100" w:afterAutospacing="1"/>
      <w:widowControl/>
    </w:pPr>
    <w:rPr>
      <w:rFonts w:ascii="宋体" w:hAnsi="宋体" w:cs="宋体"/>
      <w:sz w:val="20"/>
      <w:szCs w:val="20"/>
    </w:rPr>
  </w:style>
  <w:style w:type="paragraph" w:styleId="1199">
    <w:name w:val="项目编号2"/>
    <w:basedOn w:val="1200"/>
    <w:next w:val="1199"/>
    <w:link w:val="1092"/>
    <w:qFormat/>
    <w:pPr>
      <w:numPr>
        <w:numId w:val="3"/>
      </w:numPr>
    </w:pPr>
  </w:style>
  <w:style w:type="paragraph" w:styleId="1200">
    <w:name w:val="项目编号1"/>
    <w:basedOn w:val="1092"/>
    <w:next w:val="1200"/>
    <w:link w:val="1092"/>
    <w:qFormat/>
    <w:pPr>
      <w:numPr>
        <w:ilvl w:val="0"/>
        <w:numId w:val="2"/>
      </w:numPr>
      <w:spacing w:before="100" w:beforeAutospacing="1" w:after="100" w:afterAutospacing="1" w:line="360" w:lineRule="auto"/>
    </w:pPr>
    <w:rPr>
      <w:sz w:val="24"/>
    </w:rPr>
  </w:style>
  <w:style w:type="paragraph" w:styleId="1201">
    <w:name w:val="图中文字"/>
    <w:basedOn w:val="1092"/>
    <w:next w:val="1201"/>
    <w:link w:val="1092"/>
    <w:qFormat/>
    <w:pPr>
      <w:jc w:val="center"/>
      <w:spacing w:line="0" w:lineRule="atLeast"/>
    </w:pPr>
    <w:rPr>
      <w:sz w:val="24"/>
      <w:szCs w:val="20"/>
    </w:rPr>
  </w:style>
  <w:style w:type="paragraph" w:styleId="1202">
    <w:name w:val="xl46"/>
    <w:basedOn w:val="1092"/>
    <w:next w:val="1202"/>
    <w:link w:val="109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xl25"/>
    <w:basedOn w:val="1092"/>
    <w:next w:val="1203"/>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name w:val="Char2"/>
    <w:basedOn w:val="1092"/>
    <w:next w:val="1204"/>
    <w:link w:val="1092"/>
    <w:qFormat/>
    <w:rPr>
      <w:rFonts w:ascii="Tahoma" w:hAnsi="Tahoma"/>
      <w:sz w:val="24"/>
      <w:szCs w:val="20"/>
    </w:rPr>
  </w:style>
  <w:style w:type="paragraph" w:styleId="1205">
    <w:name w:val="xl35"/>
    <w:basedOn w:val="1092"/>
    <w:next w:val="1205"/>
    <w:link w:val="109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name w:val="xl40"/>
    <w:basedOn w:val="1092"/>
    <w:next w:val="1206"/>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52"/>
    <w:basedOn w:val="1092"/>
    <w:next w:val="1207"/>
    <w:link w:val="10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8">
    <w:name w:val="xl43"/>
    <w:basedOn w:val="1092"/>
    <w:next w:val="1208"/>
    <w:link w:val="109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background1"/>
    <w:basedOn w:val="1092"/>
    <w:next w:val="1209"/>
    <w:link w:val="1092"/>
    <w:qFormat/>
    <w:pPr>
      <w:jc w:val="left"/>
      <w:spacing w:before="100" w:beforeAutospacing="1" w:after="100" w:afterAutospacing="1"/>
      <w:widowControl/>
    </w:pPr>
    <w:rPr>
      <w:rFonts w:ascii="宋体" w:hAnsi="宋体" w:cs="宋体"/>
      <w:sz w:val="24"/>
    </w:rPr>
  </w:style>
  <w:style w:type="paragraph" w:styleId="1210">
    <w:name w:val="Char Char Char Char Char Char Char"/>
    <w:basedOn w:val="1092"/>
    <w:next w:val="1210"/>
    <w:link w:val="1092"/>
    <w:qFormat/>
    <w:pPr>
      <w:ind w:firstLine="200"/>
      <w:spacing w:line="360" w:lineRule="auto"/>
    </w:pPr>
    <w:rPr>
      <w:rFonts w:eastAsia="仿宋_GB2312"/>
      <w:sz w:val="24"/>
    </w:rPr>
  </w:style>
  <w:style w:type="paragraph" w:styleId="1211">
    <w:name w:val="xl38"/>
    <w:basedOn w:val="1092"/>
    <w:next w:val="1211"/>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2">
    <w:name w:val="xl36"/>
    <w:basedOn w:val="1092"/>
    <w:next w:val="1212"/>
    <w:link w:val="109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正文 + 宋体"/>
    <w:basedOn w:val="1092"/>
    <w:next w:val="1213"/>
    <w:link w:val="1092"/>
    <w:qFormat/>
    <w:pPr>
      <w:ind w:left="360" w:hanging="360"/>
      <w:jc w:val="left"/>
      <w:widowControl/>
    </w:pPr>
    <w:rPr>
      <w:rFonts w:ascii="宋体" w:hAnsi="宋体" w:cs="宋体"/>
      <w:b/>
      <w:bCs/>
      <w:color w:val="000000"/>
      <w:sz w:val="18"/>
      <w:szCs w:val="18"/>
    </w:rPr>
  </w:style>
  <w:style w:type="paragraph" w:styleId="1214">
    <w:name w:val="正文列项_数字"/>
    <w:basedOn w:val="1092"/>
    <w:next w:val="1214"/>
    <w:link w:val="1092"/>
    <w:qFormat/>
    <w:pPr>
      <w:numPr>
        <w:ilvl w:val="7"/>
        <w:numId w:val="1"/>
      </w:numPr>
      <w:ind w:left="680" w:hanging="150"/>
      <w:spacing w:line="460" w:lineRule="exact"/>
      <w:tabs>
        <w:tab w:val="clear" w:pos="860" w:leader="none"/>
      </w:tabs>
      <w:outlineLvl w:val="7"/>
    </w:pPr>
    <w:rPr>
      <w:rFonts w:ascii="宋体"/>
      <w:sz w:val="28"/>
      <w:szCs w:val="20"/>
    </w:rPr>
  </w:style>
  <w:style w:type="paragraph" w:styleId="1215">
    <w:name w:val="xl39"/>
    <w:basedOn w:val="1092"/>
    <w:next w:val="1215"/>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name w:val="xl37"/>
    <w:basedOn w:val="1092"/>
    <w:next w:val="1216"/>
    <w:link w:val="109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7">
    <w:name w:val="xl32"/>
    <w:basedOn w:val="1092"/>
    <w:next w:val="1217"/>
    <w:link w:val="10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name w:val="font8"/>
    <w:basedOn w:val="1092"/>
    <w:next w:val="1218"/>
    <w:link w:val="1092"/>
    <w:qFormat/>
    <w:pPr>
      <w:jc w:val="left"/>
      <w:spacing w:before="100" w:beforeAutospacing="1" w:after="100" w:afterAutospacing="1"/>
      <w:widowControl/>
    </w:pPr>
    <w:rPr>
      <w:sz w:val="36"/>
      <w:szCs w:val="36"/>
    </w:rPr>
  </w:style>
  <w:style w:type="paragraph" w:styleId="1219">
    <w:name w:val="Char"/>
    <w:basedOn w:val="1092"/>
    <w:next w:val="1219"/>
    <w:link w:val="1092"/>
    <w:qFormat/>
    <w:pPr>
      <w:tabs>
        <w:tab w:val="left" w:pos="360" w:leader="none"/>
      </w:tabs>
    </w:pPr>
    <w:rPr>
      <w:sz w:val="24"/>
    </w:rPr>
  </w:style>
  <w:style w:type="paragraph" w:styleId="1220">
    <w:name w:val="Char Char Char Char Char Char Char Char Char Char Char Char Char Char Char Char"/>
    <w:basedOn w:val="1092"/>
    <w:next w:val="1220"/>
    <w:link w:val="1092"/>
    <w:qFormat/>
    <w:pPr>
      <w:jc w:val="center"/>
      <w:spacing w:after="160" w:line="240" w:lineRule="exact"/>
      <w:widowControl/>
    </w:pPr>
    <w:rPr>
      <w:rFonts w:ascii="宋体" w:hAnsi="宋体"/>
      <w:b/>
      <w:sz w:val="30"/>
      <w:szCs w:val="30"/>
      <w:lang w:eastAsia="en-US"/>
    </w:rPr>
  </w:style>
  <w:style w:type="paragraph" w:styleId="1221">
    <w:name w:val="xl45"/>
    <w:basedOn w:val="1092"/>
    <w:next w:val="1221"/>
    <w:link w:val="109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2">
    <w:name w:val="Char Char1 Char Char Char Char Char Char"/>
    <w:basedOn w:val="1092"/>
    <w:next w:val="1222"/>
    <w:link w:val="1092"/>
    <w:qFormat/>
    <w:pPr>
      <w:jc w:val="left"/>
      <w:spacing w:after="160" w:line="240" w:lineRule="exact"/>
      <w:widowControl/>
    </w:pPr>
    <w:rPr>
      <w:rFonts w:ascii="Verdana" w:hAnsi="Verdana" w:eastAsia="仿宋_GB2312"/>
      <w:sz w:val="24"/>
      <w:szCs w:val="20"/>
      <w:lang w:eastAsia="en-US"/>
    </w:rPr>
  </w:style>
  <w:style w:type="paragraph" w:styleId="1223">
    <w:name w:val="Char Char1"/>
    <w:basedOn w:val="1117"/>
    <w:next w:val="1223"/>
    <w:link w:val="1092"/>
    <w:qFormat/>
    <w:rPr>
      <w:rFonts w:ascii="Tahoma" w:hAnsi="Tahoma"/>
      <w:sz w:val="24"/>
    </w:rPr>
  </w:style>
  <w:style w:type="paragraph" w:styleId="1224">
    <w:name w:val="xl26"/>
    <w:basedOn w:val="1092"/>
    <w:next w:val="1224"/>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5">
    <w:name w:val="xl30"/>
    <w:basedOn w:val="1092"/>
    <w:next w:val="1225"/>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name w:val="xl41"/>
    <w:basedOn w:val="1092"/>
    <w:next w:val="1226"/>
    <w:link w:val="10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7">
    <w:name w:val="样式 宋体 五号 行距: 单倍行距"/>
    <w:basedOn w:val="1092"/>
    <w:next w:val="1227"/>
    <w:link w:val="1092"/>
    <w:qFormat/>
    <w:pPr>
      <w:jc w:val="left"/>
    </w:pPr>
    <w:rPr>
      <w:rFonts w:ascii="宋体" w:hAnsi="宋体"/>
      <w:szCs w:val="20"/>
    </w:rPr>
  </w:style>
  <w:style w:type="paragraph" w:styleId="1228">
    <w:name w:val="Char1 Char Char Char1"/>
    <w:basedOn w:val="1092"/>
    <w:next w:val="1228"/>
    <w:link w:val="1092"/>
    <w:qFormat/>
    <w:rPr>
      <w:rFonts w:ascii="Tahoma" w:hAnsi="Tahoma" w:cs="仿宋_GB2312"/>
      <w:sz w:val="24"/>
      <w:szCs w:val="28"/>
    </w:rPr>
  </w:style>
  <w:style w:type="paragraph" w:styleId="1229">
    <w:name w:val="四级条标题"/>
    <w:basedOn w:val="1230"/>
    <w:next w:val="1092"/>
    <w:link w:val="1092"/>
    <w:qFormat/>
    <w:pPr>
      <w:numPr>
        <w:ilvl w:val="4"/>
      </w:numPr>
      <w:ind w:left="0" w:hanging="840"/>
      <w:tabs>
        <w:tab w:val="left" w:pos="360" w:leader="none"/>
        <w:tab w:val="left" w:pos="840" w:leader="none"/>
      </w:tabs>
      <w:outlineLvl w:val="4"/>
    </w:pPr>
  </w:style>
  <w:style w:type="paragraph" w:styleId="1230">
    <w:name w:val="三级条标题"/>
    <w:basedOn w:val="1192"/>
    <w:next w:val="1092"/>
    <w:link w:val="1092"/>
    <w:qFormat/>
    <w:pPr>
      <w:numPr>
        <w:ilvl w:val="3"/>
        <w:numId w:val="1"/>
      </w:numPr>
      <w:ind w:left="0" w:hanging="840"/>
      <w:tabs>
        <w:tab w:val="left" w:pos="360" w:leader="none"/>
        <w:tab w:val="left" w:pos="840" w:leader="none"/>
      </w:tabs>
      <w:outlineLvl w:val="3"/>
    </w:pPr>
  </w:style>
  <w:style w:type="paragraph" w:styleId="1231">
    <w:name w:val="??"/>
    <w:next w:val="1231"/>
    <w:link w:val="1092"/>
    <w:qFormat/>
    <w:pPr>
      <w:jc w:val="both"/>
      <w:widowControl w:val="off"/>
    </w:pPr>
    <w:rPr>
      <w:sz w:val="21"/>
      <w:lang w:val="en-US" w:eastAsia="en-US" w:bidi="ar-SA"/>
    </w:rPr>
  </w:style>
  <w:style w:type="paragraph" w:styleId="1232">
    <w:name w:val="样式 标题 2 + 宋体 五号 行距: 单倍行距"/>
    <w:basedOn w:val="1094"/>
    <w:next w:val="1232"/>
    <w:link w:val="109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33">
    <w:name w:val="List Paragraph1"/>
    <w:basedOn w:val="1092"/>
    <w:next w:val="1233"/>
    <w:link w:val="1092"/>
    <w:qFormat/>
    <w:pPr>
      <w:ind w:firstLine="420"/>
    </w:pPr>
    <w:rPr>
      <w:rFonts w:ascii="Calibri" w:hAnsi="Calibri"/>
      <w:szCs w:val="22"/>
    </w:rPr>
  </w:style>
  <w:style w:type="paragraph" w:styleId="1234">
    <w:name w:val="项目符号1"/>
    <w:basedOn w:val="1235"/>
    <w:next w:val="1234"/>
    <w:link w:val="1092"/>
    <w:qFormat/>
    <w:pPr>
      <w:ind w:left="-25" w:firstLine="0"/>
    </w:pPr>
  </w:style>
  <w:style w:type="paragraph" w:styleId="1235">
    <w:name w:val="正文文本样式"/>
    <w:basedOn w:val="1092"/>
    <w:next w:val="1235"/>
    <w:link w:val="1092"/>
    <w:qFormat/>
    <w:pPr>
      <w:ind w:firstLine="482"/>
      <w:spacing w:line="360" w:lineRule="auto"/>
    </w:pPr>
    <w:rPr>
      <w:rFonts w:cs="宋体"/>
      <w:sz w:val="24"/>
      <w:szCs w:val="20"/>
    </w:rPr>
  </w:style>
  <w:style w:type="paragraph" w:styleId="1236">
    <w:name w:val="xl27"/>
    <w:basedOn w:val="1092"/>
    <w:next w:val="1236"/>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font5"/>
    <w:basedOn w:val="1092"/>
    <w:next w:val="1237"/>
    <w:link w:val="1092"/>
    <w:qFormat/>
    <w:pPr>
      <w:jc w:val="left"/>
      <w:spacing w:before="100" w:beforeAutospacing="1" w:after="100" w:afterAutospacing="1"/>
      <w:widowControl/>
    </w:pPr>
    <w:rPr>
      <w:rFonts w:ascii="宋体" w:hAnsi="宋体" w:cs="宋体"/>
      <w:sz w:val="18"/>
      <w:szCs w:val="18"/>
    </w:rPr>
  </w:style>
  <w:style w:type="paragraph" w:styleId="1238">
    <w:name w:val="五级条标题"/>
    <w:basedOn w:val="1229"/>
    <w:next w:val="1092"/>
    <w:link w:val="1092"/>
    <w:qFormat/>
    <w:pPr>
      <w:numPr>
        <w:ilvl w:val="5"/>
      </w:numPr>
      <w:ind w:left="0" w:hanging="840"/>
      <w:tabs>
        <w:tab w:val="left" w:pos="360" w:leader="none"/>
        <w:tab w:val="left" w:pos="840" w:leader="none"/>
      </w:tabs>
      <w:outlineLvl w:val="5"/>
    </w:pPr>
  </w:style>
  <w:style w:type="paragraph" w:styleId="1239">
    <w:name w:val="xl49"/>
    <w:basedOn w:val="1092"/>
    <w:next w:val="1239"/>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0">
    <w:name w:val="文档正文"/>
    <w:basedOn w:val="1092"/>
    <w:next w:val="1240"/>
    <w:link w:val="1092"/>
    <w:qFormat/>
    <w:pPr>
      <w:spacing w:before="120" w:after="120" w:line="180" w:lineRule="auto"/>
    </w:pPr>
    <w:rPr>
      <w:rFonts w:ascii="Arial" w:hAnsi="Arial"/>
      <w:szCs w:val="20"/>
    </w:rPr>
  </w:style>
  <w:style w:type="paragraph" w:styleId="1241">
    <w:name w:val="xl33"/>
    <w:basedOn w:val="1092"/>
    <w:next w:val="1241"/>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2">
    <w:name w:val="xl42"/>
    <w:basedOn w:val="1092"/>
    <w:next w:val="1242"/>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3">
    <w:name w:val="Char Char Char1 Char"/>
    <w:basedOn w:val="1092"/>
    <w:next w:val="1243"/>
    <w:link w:val="1092"/>
    <w:qFormat/>
    <w:rPr>
      <w:rFonts w:ascii="Tahoma" w:hAnsi="Tahoma"/>
      <w:sz w:val="24"/>
      <w:szCs w:val="20"/>
    </w:rPr>
  </w:style>
  <w:style w:type="paragraph" w:styleId="1244">
    <w:name w:val="xl44"/>
    <w:basedOn w:val="1092"/>
    <w:next w:val="1244"/>
    <w:link w:val="10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5">
    <w:name w:val="1名"/>
    <w:basedOn w:val="1092"/>
    <w:next w:val="1245"/>
    <w:link w:val="1092"/>
    <w:qFormat/>
    <w:pPr>
      <w:numPr>
        <w:ilvl w:val="0"/>
        <w:numId w:val="5"/>
      </w:numPr>
      <w:spacing w:before="120"/>
      <w:tabs>
        <w:tab w:val="left" w:pos="360" w:leader="none"/>
      </w:tabs>
    </w:pPr>
    <w:rPr>
      <w:rFonts w:ascii="宋体"/>
      <w:sz w:val="28"/>
      <w:szCs w:val="20"/>
    </w:rPr>
  </w:style>
  <w:style w:type="paragraph" w:styleId="1246">
    <w:name w:val="font9"/>
    <w:basedOn w:val="1092"/>
    <w:next w:val="1246"/>
    <w:link w:val="1092"/>
    <w:qFormat/>
    <w:pPr>
      <w:jc w:val="left"/>
      <w:spacing w:before="100" w:beforeAutospacing="1" w:after="100" w:afterAutospacing="1"/>
      <w:widowControl/>
    </w:pPr>
    <w:rPr>
      <w:rFonts w:hint="eastAsia" w:ascii="宋体" w:hAnsi="宋体" w:cs="Arial Unicode MS"/>
      <w:color w:val="000000"/>
      <w:sz w:val="20"/>
      <w:szCs w:val="20"/>
    </w:rPr>
  </w:style>
  <w:style w:type="paragraph" w:styleId="1247">
    <w:name w:val="Char Char Char1 Char1"/>
    <w:basedOn w:val="1092"/>
    <w:next w:val="1247"/>
    <w:link w:val="1092"/>
    <w:qFormat/>
    <w:rPr>
      <w:rFonts w:ascii="Tahoma" w:hAnsi="Tahoma"/>
      <w:sz w:val="24"/>
      <w:szCs w:val="20"/>
    </w:rPr>
  </w:style>
  <w:style w:type="paragraph" w:styleId="1248">
    <w:name w:val="Char Char Char Char Char Char Char Char Char Char"/>
    <w:basedOn w:val="1092"/>
    <w:next w:val="1248"/>
    <w:link w:val="1092"/>
    <w:qFormat/>
  </w:style>
  <w:style w:type="paragraph" w:styleId="1249">
    <w:name w:val="Char Char1 Char Char Char Char Char Char Char Char"/>
    <w:basedOn w:val="1092"/>
    <w:next w:val="1249"/>
    <w:link w:val="1092"/>
    <w:qFormat/>
    <w:pPr>
      <w:jc w:val="left"/>
      <w:spacing w:after="160" w:line="240" w:lineRule="exact"/>
      <w:widowControl/>
    </w:pPr>
    <w:rPr>
      <w:rFonts w:ascii="Verdana" w:hAnsi="Verdana"/>
      <w:sz w:val="20"/>
      <w:szCs w:val="20"/>
      <w:lang w:eastAsia="en-US"/>
    </w:rPr>
  </w:style>
  <w:style w:type="paragraph" w:styleId="1250">
    <w:name w:val="Char1"/>
    <w:basedOn w:val="1092"/>
    <w:next w:val="1250"/>
    <w:link w:val="1092"/>
    <w:qFormat/>
    <w:pPr>
      <w:tabs>
        <w:tab w:val="left" w:pos="360" w:leader="none"/>
      </w:tabs>
    </w:pPr>
    <w:rPr>
      <w:sz w:val="24"/>
    </w:rPr>
  </w:style>
  <w:style w:type="paragraph" w:styleId="1251">
    <w:name w:val="正文列项_字母"/>
    <w:basedOn w:val="1092"/>
    <w:next w:val="1251"/>
    <w:link w:val="1092"/>
    <w:qFormat/>
    <w:pPr>
      <w:numPr>
        <w:ilvl w:val="6"/>
        <w:numId w:val="1"/>
      </w:numPr>
      <w:ind w:left="480" w:hanging="180"/>
      <w:spacing w:line="460" w:lineRule="exact"/>
      <w:tabs>
        <w:tab w:val="clear" w:pos="635" w:leader="none"/>
      </w:tabs>
      <w:outlineLvl w:val="6"/>
    </w:pPr>
    <w:rPr>
      <w:rFonts w:ascii="宋体"/>
      <w:sz w:val="28"/>
      <w:szCs w:val="20"/>
    </w:rPr>
  </w:style>
  <w:style w:type="paragraph" w:styleId="1252">
    <w:name w:val="xl28"/>
    <w:basedOn w:val="1092"/>
    <w:next w:val="1252"/>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47"/>
    <w:basedOn w:val="1092"/>
    <w:next w:val="1253"/>
    <w:link w:val="10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默认段落字体 Para Char Char Char Char"/>
    <w:basedOn w:val="1092"/>
    <w:next w:val="1254"/>
    <w:link w:val="1092"/>
    <w:qFormat/>
    <w:rPr>
      <w:rFonts w:ascii="Arial" w:hAnsi="Arial" w:cs="Arial"/>
      <w:szCs w:val="21"/>
    </w:rPr>
  </w:style>
  <w:style w:type="paragraph" w:styleId="1255">
    <w:name w:val="xl48"/>
    <w:basedOn w:val="1092"/>
    <w:next w:val="1255"/>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6">
    <w:name w:val="xl31"/>
    <w:basedOn w:val="1092"/>
    <w:next w:val="1256"/>
    <w:link w:val="10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7">
    <w:name w:val="xl53"/>
    <w:basedOn w:val="1092"/>
    <w:next w:val="1257"/>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Char Char Char"/>
    <w:basedOn w:val="1092"/>
    <w:next w:val="1258"/>
    <w:link w:val="1092"/>
    <w:qFormat/>
    <w:rPr>
      <w:rFonts w:ascii="Tahoma" w:hAnsi="Tahoma"/>
      <w:sz w:val="24"/>
      <w:szCs w:val="20"/>
    </w:rPr>
  </w:style>
  <w:style w:type="paragraph" w:styleId="1259">
    <w:name w:val="xl50"/>
    <w:basedOn w:val="1092"/>
    <w:next w:val="1259"/>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0">
    <w:name w:val="缺省文本"/>
    <w:basedOn w:val="1092"/>
    <w:next w:val="1260"/>
    <w:link w:val="1092"/>
    <w:qFormat/>
    <w:pPr>
      <w:jc w:val="left"/>
    </w:pPr>
    <w:rPr>
      <w:sz w:val="24"/>
    </w:rPr>
  </w:style>
  <w:style w:type="paragraph" w:styleId="1261">
    <w:name w:val="Char Char Char1"/>
    <w:basedOn w:val="1092"/>
    <w:next w:val="1261"/>
    <w:link w:val="1092"/>
    <w:qFormat/>
    <w:rPr>
      <w:rFonts w:ascii="Tahoma" w:hAnsi="Tahoma"/>
      <w:sz w:val="24"/>
      <w:szCs w:val="20"/>
    </w:rPr>
  </w:style>
  <w:style w:type="paragraph" w:styleId="1262">
    <w:name w:val="Char Char Char Char Char Char Char1"/>
    <w:basedOn w:val="1092"/>
    <w:next w:val="1262"/>
    <w:link w:val="1092"/>
    <w:qFormat/>
    <w:pPr>
      <w:ind w:firstLine="200"/>
      <w:spacing w:line="360" w:lineRule="auto"/>
    </w:pPr>
    <w:rPr>
      <w:rFonts w:eastAsia="仿宋_GB2312"/>
      <w:sz w:val="24"/>
    </w:rPr>
  </w:style>
  <w:style w:type="paragraph" w:styleId="1263">
    <w:name w:val="xl51"/>
    <w:basedOn w:val="1092"/>
    <w:next w:val="1263"/>
    <w:link w:val="10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name w:val="样式2"/>
    <w:basedOn w:val="1154"/>
    <w:next w:val="1264"/>
    <w:link w:val="1092"/>
    <w:qFormat/>
    <w:pPr>
      <w:jc w:val="center"/>
      <w:spacing w:line="360" w:lineRule="auto"/>
    </w:pPr>
    <w:rPr>
      <w:sz w:val="24"/>
    </w:rPr>
  </w:style>
  <w:style w:type="paragraph" w:styleId="1265">
    <w:name w:val="xl24"/>
    <w:basedOn w:val="1092"/>
    <w:next w:val="1265"/>
    <w:link w:val="10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6">
    <w:name w:val="xl29"/>
    <w:basedOn w:val="1092"/>
    <w:next w:val="1266"/>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7">
    <w:name w:val="正文 + 楷体_GB2312"/>
    <w:basedOn w:val="1092"/>
    <w:next w:val="1267"/>
    <w:link w:val="1092"/>
    <w:qFormat/>
    <w:pPr>
      <w:jc w:val="left"/>
      <w:widowControl/>
    </w:pPr>
    <w:rPr>
      <w:rFonts w:ascii="楷体_GB2312" w:eastAsia="楷体_GB2312" w:cs="Arial"/>
      <w:sz w:val="24"/>
    </w:rPr>
  </w:style>
  <w:style w:type="paragraph" w:styleId="1268">
    <w:name w:val="xl34"/>
    <w:basedOn w:val="1092"/>
    <w:next w:val="1268"/>
    <w:link w:val="10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9">
    <w:name w:val="1 Char Char Char Char"/>
    <w:basedOn w:val="1092"/>
    <w:next w:val="1269"/>
    <w:link w:val="1092"/>
    <w:qFormat/>
    <w:rPr>
      <w:rFonts w:ascii="Tahoma" w:hAnsi="Tahoma"/>
      <w:sz w:val="24"/>
      <w:szCs w:val="20"/>
    </w:rPr>
  </w:style>
  <w:style w:type="paragraph" w:styleId="1270">
    <w:name w:val="Default"/>
    <w:next w:val="1270"/>
    <w:link w:val="1092"/>
    <w:qFormat/>
    <w:pPr>
      <w:widowControl w:val="off"/>
    </w:pPr>
    <w:rPr>
      <w:rFonts w:ascii="Symbol" w:hAnsi="Symbol" w:cs="Symbol"/>
      <w:color w:val="000000"/>
      <w:sz w:val="24"/>
      <w:szCs w:val="24"/>
      <w:lang w:val="en-US" w:eastAsia="zh-CN" w:bidi="ar-SA"/>
    </w:rPr>
  </w:style>
  <w:style w:type="paragraph" w:styleId="1271">
    <w:name w:val="列出段落1"/>
    <w:basedOn w:val="1092"/>
    <w:next w:val="1271"/>
    <w:link w:val="1092"/>
    <w:qFormat/>
    <w:pPr>
      <w:ind w:firstLine="420"/>
    </w:pPr>
    <w:rPr>
      <w:rFonts w:ascii="Calibri" w:hAnsi="Calibri"/>
      <w:szCs w:val="22"/>
    </w:rPr>
  </w:style>
  <w:style w:type="paragraph" w:styleId="1272">
    <w:name w:val="default"/>
    <w:basedOn w:val="1092"/>
    <w:next w:val="1272"/>
    <w:link w:val="1092"/>
    <w:qFormat/>
    <w:pPr>
      <w:jc w:val="left"/>
      <w:spacing w:before="100" w:beforeAutospacing="1" w:after="100" w:afterAutospacing="1"/>
      <w:widowControl/>
    </w:pPr>
    <w:rPr>
      <w:rFonts w:ascii="宋体" w:hAnsi="宋体" w:cs="宋体"/>
      <w:sz w:val="24"/>
    </w:rPr>
  </w:style>
  <w:style w:type="paragraph" w:styleId="1273">
    <w:name w:val="字元 字元1"/>
    <w:basedOn w:val="1092"/>
    <w:next w:val="1273"/>
    <w:link w:val="1092"/>
    <w:qFormat/>
    <w:rPr>
      <w:rFonts w:ascii="Tahoma" w:hAnsi="Tahoma"/>
      <w:sz w:val="24"/>
      <w:szCs w:val="20"/>
    </w:rPr>
  </w:style>
  <w:style w:type="paragraph" w:styleId="1274">
    <w:name w:val="_Style 160"/>
    <w:next w:val="1274"/>
    <w:link w:val="1092"/>
    <w:qFormat/>
    <w:rPr>
      <w:sz w:val="21"/>
      <w:szCs w:val="24"/>
      <w:lang w:val="en-US" w:eastAsia="zh-CN" w:bidi="ar-SA"/>
    </w:rPr>
  </w:style>
  <w:style w:type="paragraph" w:styleId="1275">
    <w:name w:val="项目编号3"/>
    <w:basedOn w:val="1235"/>
    <w:next w:val="1275"/>
    <w:link w:val="1092"/>
    <w:qFormat/>
    <w:pPr>
      <w:numPr>
        <w:ilvl w:val="0"/>
        <w:numId w:val="6"/>
      </w:numPr>
    </w:pPr>
  </w:style>
  <w:style w:type="paragraph" w:styleId="1276">
    <w:name w:val="Char21"/>
    <w:basedOn w:val="1092"/>
    <w:next w:val="1276"/>
    <w:link w:val="1092"/>
    <w:qFormat/>
    <w:rPr>
      <w:rFonts w:ascii="Tahoma" w:hAnsi="Tahoma"/>
      <w:sz w:val="24"/>
      <w:szCs w:val="20"/>
    </w:rPr>
  </w:style>
  <w:style w:type="paragraph" w:styleId="1277">
    <w:name w:val="表格文字"/>
    <w:basedOn w:val="1125"/>
    <w:next w:val="1277"/>
    <w:link w:val="1092"/>
    <w:qFormat/>
    <w:pPr>
      <w:ind w:firstLine="0"/>
      <w:spacing w:before="20" w:after="20" w:line="240" w:lineRule="auto"/>
    </w:pPr>
    <w:rPr>
      <w:rFonts w:ascii="Century Gothic" w:hAnsi="Century Gothic"/>
      <w:sz w:val="20"/>
      <w:szCs w:val="20"/>
    </w:rPr>
  </w:style>
  <w:style w:type="paragraph" w:styleId="1278">
    <w:name w:val="Char Char Char Char Char Char Char Char Char Char1"/>
    <w:basedOn w:val="1092"/>
    <w:next w:val="1278"/>
    <w:link w:val="1092"/>
    <w:qFormat/>
    <w:rPr>
      <w:rFonts w:ascii="宋体" w:hAnsi="宋体" w:cs="Courier New"/>
      <w:sz w:val="32"/>
      <w:szCs w:val="32"/>
    </w:rPr>
  </w:style>
  <w:style w:type="paragraph" w:styleId="1279">
    <w:name w:val="正文文本样式 加粗"/>
    <w:basedOn w:val="1235"/>
    <w:next w:val="1279"/>
    <w:link w:val="1092"/>
    <w:qFormat/>
    <w:rPr>
      <w:b/>
    </w:rPr>
  </w:style>
  <w:style w:type="paragraph" w:styleId="1280">
    <w:name w:val="Char2 Char Char Char Char Char Char"/>
    <w:basedOn w:val="1092"/>
    <w:next w:val="1280"/>
    <w:link w:val="1092"/>
    <w:qFormat/>
    <w:pPr>
      <w:jc w:val="center"/>
      <w:spacing w:line="400" w:lineRule="exact"/>
      <w:widowControl/>
    </w:pPr>
  </w:style>
  <w:style w:type="paragraph" w:styleId="1281">
    <w:name w:val="Char Char4"/>
    <w:basedOn w:val="1092"/>
    <w:next w:val="1281"/>
    <w:link w:val="1092"/>
    <w:qFormat/>
    <w:pPr>
      <w:jc w:val="center"/>
      <w:spacing w:line="400" w:lineRule="exact"/>
      <w:widowControl/>
    </w:pPr>
  </w:style>
  <w:style w:type="paragraph" w:styleId="1282">
    <w:name w:val="Char3 Char Char Char1"/>
    <w:basedOn w:val="1092"/>
    <w:next w:val="1282"/>
    <w:link w:val="1092"/>
    <w:qFormat/>
    <w:rPr>
      <w:rFonts w:ascii="Tahoma" w:hAnsi="Tahoma"/>
      <w:sz w:val="24"/>
      <w:szCs w:val="20"/>
    </w:rPr>
  </w:style>
  <w:style w:type="paragraph" w:styleId="1283">
    <w:name w:val="无间隔"/>
    <w:next w:val="1283"/>
    <w:link w:val="1092"/>
    <w:qFormat/>
    <w:pPr>
      <w:jc w:val="both"/>
      <w:widowControl w:val="off"/>
    </w:pPr>
    <w:rPr>
      <w:sz w:val="21"/>
      <w:szCs w:val="24"/>
      <w:lang w:val="en-US" w:eastAsia="zh-CN" w:bidi="ar-SA"/>
    </w:rPr>
  </w:style>
  <w:style w:type="paragraph" w:styleId="1284">
    <w:name w:val="22222222222222"/>
    <w:basedOn w:val="1092"/>
    <w:next w:val="1284"/>
    <w:link w:val="1092"/>
    <w:qFormat/>
    <w:pPr>
      <w:ind w:firstLine="480"/>
      <w:jc w:val="left"/>
      <w:spacing w:line="360" w:lineRule="auto"/>
      <w:widowControl/>
    </w:pPr>
    <w:rPr>
      <w:color w:val="ff0000"/>
      <w:sz w:val="24"/>
      <w:szCs w:val="20"/>
    </w:rPr>
  </w:style>
  <w:style w:type="character" w:styleId="1285">
    <w:name w:val="中等深浅网格 1 - 强调文字颜色 2 Char"/>
    <w:next w:val="1285"/>
    <w:link w:val="1286"/>
    <w:qFormat/>
    <w:rPr>
      <w:sz w:val="21"/>
      <w:szCs w:val="24"/>
      <w:lang w:val="zh-CN" w:eastAsia="zh-CN" w:bidi="ar-SA"/>
    </w:rPr>
  </w:style>
  <w:style w:type="paragraph" w:styleId="1286">
    <w:name w:val="1"/>
    <w:next w:val="1286"/>
    <w:link w:val="1285"/>
    <w:qFormat/>
    <w:rPr>
      <w:sz w:val="21"/>
      <w:szCs w:val="24"/>
      <w:lang w:val="zh-CN" w:eastAsia="zh-CN" w:bidi="ar-SA"/>
    </w:rPr>
  </w:style>
  <w:style w:type="paragraph" w:styleId="1287">
    <w:name w:val="图文"/>
    <w:basedOn w:val="1092"/>
    <w:next w:val="1287"/>
    <w:link w:val="1092"/>
    <w:qFormat/>
    <w:pPr>
      <w:spacing w:after="50" w:line="360" w:lineRule="auto"/>
    </w:pPr>
    <w:rPr>
      <w:sz w:val="24"/>
    </w:rPr>
  </w:style>
  <w:style w:type="paragraph" w:styleId="1288">
    <w:name w:val="xl23"/>
    <w:basedOn w:val="1092"/>
    <w:next w:val="1288"/>
    <w:link w:val="1092"/>
    <w:qFormat/>
    <w:pPr>
      <w:spacing w:before="100" w:beforeAutospacing="1" w:after="100" w:afterAutospacing="1" w:line="360" w:lineRule="auto"/>
      <w:widowControl/>
    </w:pPr>
    <w:rPr>
      <w:sz w:val="24"/>
      <w:szCs w:val="20"/>
    </w:rPr>
  </w:style>
  <w:style w:type="paragraph" w:styleId="1289">
    <w:name w:val="正文表格"/>
    <w:basedOn w:val="1092"/>
    <w:next w:val="1289"/>
    <w:link w:val="1290"/>
    <w:qFormat/>
    <w:pPr>
      <w:jc w:val="left"/>
    </w:pPr>
    <w:rPr>
      <w:rFonts w:ascii="宋体" w:hAnsi="宋体"/>
      <w:color w:val="000000"/>
      <w:szCs w:val="21"/>
    </w:rPr>
  </w:style>
  <w:style w:type="character" w:styleId="1290">
    <w:name w:val="正文表格 Char"/>
    <w:next w:val="1290"/>
    <w:link w:val="1289"/>
    <w:qFormat/>
    <w:rPr>
      <w:rFonts w:ascii="宋体" w:hAnsi="宋体"/>
      <w:color w:val="000000"/>
      <w:sz w:val="21"/>
      <w:szCs w:val="21"/>
    </w:rPr>
  </w:style>
  <w:style w:type="paragraph" w:styleId="1291">
    <w:name w:val="正文重点"/>
    <w:basedOn w:val="1092"/>
    <w:next w:val="1291"/>
    <w:link w:val="1292"/>
    <w:qFormat/>
    <w:pPr>
      <w:ind w:firstLine="482"/>
      <w:jc w:val="left"/>
      <w:spacing w:line="360" w:lineRule="auto"/>
    </w:pPr>
    <w:rPr>
      <w:b/>
      <w:sz w:val="24"/>
      <w:szCs w:val="20"/>
    </w:rPr>
  </w:style>
  <w:style w:type="character" w:styleId="1292">
    <w:name w:val="正文重点 Char"/>
    <w:next w:val="1292"/>
    <w:link w:val="1291"/>
    <w:qFormat/>
    <w:rPr>
      <w:b/>
      <w:sz w:val="24"/>
    </w:rPr>
  </w:style>
  <w:style w:type="paragraph" w:styleId="1293">
    <w:name w:val="标题1-附件"/>
    <w:basedOn w:val="1093"/>
    <w:next w:val="1293"/>
    <w:link w:val="1092"/>
    <w:qFormat/>
    <w:pPr>
      <w:jc w:val="left"/>
    </w:pPr>
    <w:rPr>
      <w:sz w:val="24"/>
      <w:szCs w:val="24"/>
    </w:rPr>
  </w:style>
  <w:style w:type="paragraph" w:styleId="1294">
    <w:name w:val="正文小标题"/>
    <w:basedOn w:val="1092"/>
    <w:next w:val="1106"/>
    <w:link w:val="1295"/>
    <w:qFormat/>
    <w:pPr>
      <w:ind w:firstLine="482"/>
      <w:jc w:val="left"/>
      <w:spacing w:before="312" w:after="312"/>
    </w:pPr>
    <w:rPr>
      <w:rFonts w:ascii="宋体" w:hAnsi="宋体"/>
      <w:b/>
      <w:i/>
      <w:color w:val="ff0000"/>
      <w:sz w:val="24"/>
      <w:szCs w:val="20"/>
    </w:rPr>
  </w:style>
  <w:style w:type="character" w:styleId="1295">
    <w:name w:val="正文小标题 Char"/>
    <w:next w:val="1295"/>
    <w:link w:val="1294"/>
    <w:qFormat/>
    <w:rPr>
      <w:rFonts w:ascii="宋体" w:hAnsi="宋体"/>
      <w:b/>
      <w:i/>
      <w:color w:val="ff0000"/>
      <w:sz w:val="24"/>
    </w:rPr>
  </w:style>
  <w:style w:type="paragraph" w:styleId="1296">
    <w:name w:val="正文大标题"/>
    <w:basedOn w:val="1294"/>
    <w:next w:val="1106"/>
    <w:link w:val="1297"/>
    <w:qFormat/>
    <w:pPr>
      <w:jc w:val="center"/>
    </w:pPr>
    <w:rPr>
      <w:i w:val="0"/>
      <w:color w:val="000000"/>
      <w:sz w:val="28"/>
      <w:szCs w:val="21"/>
    </w:rPr>
  </w:style>
  <w:style w:type="character" w:styleId="1297">
    <w:name w:val="正文大标题 Char"/>
    <w:next w:val="1297"/>
    <w:link w:val="1296"/>
    <w:qFormat/>
    <w:rPr>
      <w:rFonts w:ascii="宋体" w:hAnsi="宋体"/>
      <w:b/>
      <w:color w:val="000000"/>
      <w:sz w:val="28"/>
      <w:szCs w:val="21"/>
    </w:rPr>
  </w:style>
  <w:style w:type="paragraph" w:styleId="1298">
    <w:name w:val="注释"/>
    <w:basedOn w:val="1092"/>
    <w:next w:val="1298"/>
    <w:link w:val="1299"/>
    <w:qFormat/>
    <w:pPr>
      <w:ind w:left="420" w:hanging="420"/>
      <w:jc w:val="left"/>
    </w:pPr>
    <w:rPr>
      <w:rFonts w:ascii="宋体" w:hAnsi="宋体"/>
      <w:szCs w:val="21"/>
    </w:rPr>
  </w:style>
  <w:style w:type="character" w:styleId="1299">
    <w:name w:val="注释 Char"/>
    <w:next w:val="1299"/>
    <w:link w:val="1298"/>
    <w:qFormat/>
    <w:rPr>
      <w:rFonts w:ascii="宋体" w:hAnsi="宋体"/>
      <w:sz w:val="21"/>
      <w:szCs w:val="21"/>
    </w:rPr>
  </w:style>
  <w:style w:type="paragraph" w:styleId="1300">
    <w:name w:val="正文须知-1级"/>
    <w:basedOn w:val="1092"/>
    <w:next w:val="1092"/>
    <w:link w:val="1092"/>
    <w:qFormat/>
    <w:pPr>
      <w:numPr>
        <w:ilvl w:val="0"/>
        <w:numId w:val="7"/>
      </w:numPr>
      <w:spacing w:line="300" w:lineRule="auto"/>
    </w:pPr>
    <w:rPr>
      <w:rFonts w:ascii="宋体" w:hAnsi="Calibri"/>
      <w:sz w:val="24"/>
      <w:szCs w:val="21"/>
    </w:rPr>
  </w:style>
  <w:style w:type="paragraph" w:styleId="1301">
    <w:name w:val="正文须知-2级"/>
    <w:basedOn w:val="1092"/>
    <w:next w:val="1301"/>
    <w:link w:val="1092"/>
    <w:qFormat/>
    <w:pPr>
      <w:numPr>
        <w:ilvl w:val="1"/>
        <w:numId w:val="7"/>
      </w:numPr>
      <w:spacing w:line="300" w:lineRule="auto"/>
    </w:pPr>
    <w:rPr>
      <w:rFonts w:ascii="宋体" w:hAnsi="Calibri"/>
      <w:sz w:val="24"/>
      <w:szCs w:val="21"/>
    </w:rPr>
  </w:style>
  <w:style w:type="paragraph" w:styleId="1302">
    <w:name w:val="正文须知-3级"/>
    <w:basedOn w:val="1092"/>
    <w:next w:val="1302"/>
    <w:link w:val="1092"/>
    <w:qFormat/>
    <w:pPr>
      <w:numPr>
        <w:ilvl w:val="2"/>
        <w:numId w:val="7"/>
      </w:numPr>
      <w:ind w:hanging="355"/>
      <w:spacing w:line="300" w:lineRule="auto"/>
    </w:pPr>
    <w:rPr>
      <w:rFonts w:ascii="宋体" w:hAnsi="Calibri"/>
      <w:sz w:val="24"/>
      <w:szCs w:val="21"/>
    </w:rPr>
  </w:style>
  <w:style w:type="character" w:styleId="1303">
    <w:name w:val="纯文本 字符"/>
    <w:next w:val="1303"/>
    <w:link w:val="1092"/>
    <w:uiPriority w:val="99"/>
    <w:qFormat/>
    <w:rPr>
      <w:rFonts w:ascii="宋体" w:hAnsi="Courier New" w:eastAsia="宋体" w:cs="Times New Roman"/>
      <w:sz w:val="21"/>
      <w:szCs w:val="21"/>
      <w:lang w:val="en-US" w:eastAsia="zh-CN" w:bidi="ar-SA"/>
    </w:rPr>
  </w:style>
  <w:style w:type="paragraph" w:styleId="1304">
    <w:name w:val="表格1"/>
    <w:basedOn w:val="1092"/>
    <w:next w:val="1304"/>
    <w:link w:val="1092"/>
    <w:qFormat/>
    <w:pPr>
      <w:ind w:firstLine="480"/>
      <w:jc w:val="center"/>
    </w:pPr>
    <w:rPr>
      <w:sz w:val="24"/>
      <w:szCs w:val="20"/>
    </w:rPr>
  </w:style>
  <w:style w:type="character" w:styleId="1305">
    <w:name w:val="纯文本 字符1"/>
    <w:next w:val="1305"/>
    <w:link w:val="1092"/>
    <w:qFormat/>
    <w:rPr>
      <w:rFonts w:ascii="宋体" w:hAnsi="Courier New"/>
    </w:rPr>
  </w:style>
  <w:style w:type="character" w:styleId="1306">
    <w:name w:val="bjh-p"/>
    <w:next w:val="1306"/>
    <w:link w:val="1092"/>
    <w:qFormat/>
  </w:style>
  <w:style w:type="paragraph" w:styleId="1307">
    <w:name w:val="无标题条"/>
    <w:next w:val="1092"/>
    <w:link w:val="1092"/>
    <w:qFormat/>
    <w:pPr>
      <w:jc w:val="both"/>
    </w:pPr>
    <w:rPr>
      <w:sz w:val="21"/>
      <w:lang w:val="en-US" w:eastAsia="zh-CN" w:bidi="ar-SA"/>
    </w:rPr>
  </w:style>
  <w:style w:type="character" w:styleId="1308">
    <w:name w:val="正文格式 Char"/>
    <w:next w:val="1308"/>
    <w:link w:val="1309"/>
    <w:qFormat/>
    <w:rPr>
      <w:rFonts w:ascii="宋体" w:hAnsi="宋体"/>
      <w:sz w:val="24"/>
      <w:szCs w:val="24"/>
      <w:lang w:val="en-GB"/>
    </w:rPr>
  </w:style>
  <w:style w:type="paragraph" w:styleId="1309">
    <w:name w:val="正文格式"/>
    <w:basedOn w:val="1092"/>
    <w:next w:val="1309"/>
    <w:link w:val="1308"/>
    <w:qFormat/>
    <w:pPr>
      <w:ind w:firstLine="480"/>
      <w:spacing w:line="360" w:lineRule="auto"/>
    </w:pPr>
    <w:rPr>
      <w:rFonts w:ascii="宋体" w:hAnsi="宋体"/>
      <w:sz w:val="24"/>
      <w:lang w:val="en-GB"/>
    </w:rPr>
  </w:style>
  <w:style w:type="character" w:styleId="1310">
    <w:name w:val="标题 3 Char"/>
    <w:next w:val="1310"/>
    <w:link w:val="1092"/>
    <w:qFormat/>
    <w:rPr>
      <w:rFonts w:ascii="宋体" w:eastAsia="宋体"/>
      <w:b/>
      <w:sz w:val="24"/>
      <w:u w:val="single"/>
      <w:lang w:val="en-US" w:eastAsia="zh-CN" w:bidi="ar-SA"/>
    </w:rPr>
  </w:style>
  <w:style w:type="character" w:styleId="1311">
    <w:name w:val="正文缩进 Char"/>
    <w:next w:val="1311"/>
    <w:link w:val="1092"/>
    <w:qFormat/>
    <w:rPr>
      <w:rFonts w:ascii="宋体" w:eastAsia="宋体"/>
      <w:sz w:val="24"/>
      <w:szCs w:val="24"/>
      <w:lang w:val="en-US" w:eastAsia="zh-CN" w:bidi="ar-SA"/>
    </w:rPr>
  </w:style>
  <w:style w:type="character" w:styleId="1312">
    <w:name w:val="Char Char111"/>
    <w:next w:val="1312"/>
    <w:link w:val="1092"/>
    <w:qFormat/>
    <w:rPr>
      <w:rFonts w:ascii="宋体" w:eastAsia="宋体"/>
      <w:b/>
      <w:sz w:val="24"/>
      <w:u w:val="single"/>
      <w:lang w:val="en-US" w:eastAsia="zh-CN" w:bidi="ar-SA"/>
    </w:rPr>
  </w:style>
  <w:style w:type="character" w:styleId="1313">
    <w:name w:val="正文文本缩进 Char"/>
    <w:next w:val="1313"/>
    <w:link w:val="1092"/>
    <w:qFormat/>
    <w:rPr>
      <w:rFonts w:eastAsia="宋体"/>
      <w:sz w:val="24"/>
      <w:szCs w:val="24"/>
      <w:lang w:val="en-US" w:eastAsia="zh-CN" w:bidi="ar-SA"/>
    </w:rPr>
  </w:style>
  <w:style w:type="character" w:styleId="1314">
    <w:name w:val="列出段落 Char"/>
    <w:next w:val="1314"/>
    <w:link w:val="1092"/>
    <w:qFormat/>
    <w:rPr>
      <w:rFonts w:ascii="Calibri" w:hAnsi="Calibri" w:eastAsia="宋体"/>
      <w:sz w:val="21"/>
      <w:szCs w:val="22"/>
      <w:lang w:val="en-US" w:eastAsia="zh-CN" w:bidi="ar-SA"/>
    </w:rPr>
  </w:style>
  <w:style w:type="character" w:styleId="1315">
    <w:name w:val="页眉 Char"/>
    <w:next w:val="1315"/>
    <w:link w:val="1092"/>
    <w:qFormat/>
    <w:rPr>
      <w:rFonts w:eastAsia="宋体"/>
      <w:sz w:val="18"/>
      <w:szCs w:val="18"/>
      <w:lang w:val="en-US" w:eastAsia="zh-CN" w:bidi="ar-SA"/>
    </w:rPr>
  </w:style>
  <w:style w:type="character" w:styleId="1316">
    <w:name w:val="标题 2 Char"/>
    <w:next w:val="1316"/>
    <w:link w:val="1092"/>
    <w:qFormat/>
    <w:rPr>
      <w:rFonts w:ascii="Arial" w:hAnsi="Arial" w:eastAsia="黑体"/>
      <w:b/>
      <w:sz w:val="30"/>
      <w:lang w:val="en-US" w:eastAsia="zh-CN" w:bidi="ar-SA"/>
    </w:rPr>
  </w:style>
  <w:style w:type="paragraph" w:styleId="1317">
    <w:name w:val="字元 字元2"/>
    <w:basedOn w:val="1092"/>
    <w:next w:val="1317"/>
    <w:link w:val="1092"/>
    <w:qFormat/>
    <w:rPr>
      <w:rFonts w:ascii="Tahoma" w:hAnsi="Tahoma"/>
      <w:sz w:val="24"/>
      <w:szCs w:val="20"/>
    </w:rPr>
  </w:style>
  <w:style w:type="paragraph" w:styleId="1318">
    <w:name w:val="Char3 Char Char Char2"/>
    <w:basedOn w:val="1092"/>
    <w:next w:val="1318"/>
    <w:link w:val="1092"/>
    <w:qFormat/>
    <w:rPr>
      <w:rFonts w:ascii="Tahoma" w:hAnsi="Tahoma"/>
      <w:sz w:val="24"/>
      <w:szCs w:val="20"/>
    </w:rPr>
  </w:style>
  <w:style w:type="paragraph" w:styleId="1319">
    <w:name w:val="正文文本缩进2"/>
    <w:basedOn w:val="1092"/>
    <w:next w:val="1319"/>
    <w:link w:val="1092"/>
    <w:qFormat/>
    <w:pPr>
      <w:ind w:firstLine="480"/>
      <w:spacing w:line="480" w:lineRule="exact"/>
    </w:pPr>
    <w:rPr>
      <w:rFonts w:ascii="宋体" w:hAnsi="宋体"/>
      <w:sz w:val="24"/>
      <w:lang w:val="zh-CN" w:eastAsia="zh-CN"/>
    </w:rPr>
  </w:style>
  <w:style w:type="paragraph" w:styleId="1320">
    <w:name w:val="Char3"/>
    <w:basedOn w:val="1092"/>
    <w:next w:val="1320"/>
    <w:link w:val="1092"/>
    <w:qFormat/>
    <w:pPr>
      <w:tabs>
        <w:tab w:val="left" w:pos="360" w:leader="none"/>
      </w:tabs>
    </w:pPr>
    <w:rPr>
      <w:sz w:val="24"/>
    </w:rPr>
  </w:style>
  <w:style w:type="paragraph" w:styleId="1321">
    <w:name w:val="Char Char Char Char Char Char Char Char Char Char Char Char Char Char Char Char1"/>
    <w:basedOn w:val="1092"/>
    <w:next w:val="1321"/>
    <w:link w:val="1092"/>
    <w:qFormat/>
    <w:pPr>
      <w:jc w:val="center"/>
      <w:spacing w:after="160" w:line="240" w:lineRule="exact"/>
      <w:widowControl/>
    </w:pPr>
    <w:rPr>
      <w:rFonts w:ascii="宋体" w:hAnsi="宋体"/>
      <w:b/>
      <w:sz w:val="30"/>
      <w:szCs w:val="30"/>
      <w:lang w:eastAsia="en-US"/>
    </w:rPr>
  </w:style>
  <w:style w:type="paragraph" w:styleId="1322">
    <w:name w:val="Char Char1 Char Char Char Char Char Char1"/>
    <w:basedOn w:val="1092"/>
    <w:next w:val="1322"/>
    <w:link w:val="1092"/>
    <w:qFormat/>
    <w:pPr>
      <w:jc w:val="left"/>
      <w:spacing w:after="160" w:line="240" w:lineRule="exact"/>
      <w:widowControl/>
    </w:pPr>
    <w:rPr>
      <w:rFonts w:ascii="Verdana" w:hAnsi="Verdana" w:eastAsia="仿宋_GB2312"/>
      <w:sz w:val="24"/>
      <w:szCs w:val="20"/>
      <w:lang w:eastAsia="en-US"/>
    </w:rPr>
  </w:style>
  <w:style w:type="paragraph" w:styleId="1323">
    <w:name w:val="列出段落2"/>
    <w:basedOn w:val="1092"/>
    <w:next w:val="1323"/>
    <w:link w:val="1092"/>
    <w:qFormat/>
    <w:pPr>
      <w:ind w:firstLine="420"/>
    </w:pPr>
    <w:rPr>
      <w:rFonts w:ascii="Calibri" w:hAnsi="Calibri"/>
      <w:szCs w:val="22"/>
    </w:rPr>
  </w:style>
  <w:style w:type="paragraph" w:styleId="1324">
    <w:name w:val="Char Char Char1 Char2"/>
    <w:basedOn w:val="1092"/>
    <w:next w:val="1324"/>
    <w:link w:val="1092"/>
    <w:qFormat/>
    <w:rPr>
      <w:rFonts w:ascii="Tahoma" w:hAnsi="Tahoma"/>
      <w:sz w:val="24"/>
      <w:szCs w:val="20"/>
    </w:rPr>
  </w:style>
  <w:style w:type="paragraph" w:styleId="1325">
    <w:name w:val="Char Char Char2"/>
    <w:basedOn w:val="1092"/>
    <w:next w:val="1325"/>
    <w:link w:val="1092"/>
    <w:qFormat/>
    <w:rPr>
      <w:rFonts w:ascii="Tahoma" w:hAnsi="Tahoma"/>
      <w:sz w:val="24"/>
      <w:szCs w:val="20"/>
    </w:rPr>
  </w:style>
  <w:style w:type="paragraph" w:styleId="1326">
    <w:name w:val="Char Char Char Char Char Char Char2"/>
    <w:basedOn w:val="1092"/>
    <w:next w:val="1326"/>
    <w:link w:val="1092"/>
    <w:qFormat/>
    <w:pPr>
      <w:ind w:firstLine="200"/>
      <w:spacing w:line="360" w:lineRule="auto"/>
    </w:pPr>
    <w:rPr>
      <w:rFonts w:eastAsia="仿宋_GB2312"/>
      <w:sz w:val="24"/>
    </w:rPr>
  </w:style>
  <w:style w:type="paragraph" w:styleId="1327">
    <w:name w:val="正文缩进2"/>
    <w:basedOn w:val="1092"/>
    <w:next w:val="1327"/>
    <w:link w:val="1092"/>
    <w:qFormat/>
    <w:pPr>
      <w:ind w:firstLine="567"/>
      <w:spacing w:line="480" w:lineRule="exact"/>
      <w:widowControl/>
    </w:pPr>
    <w:rPr>
      <w:rFonts w:ascii="宋体"/>
      <w:color w:val="000000"/>
      <w:sz w:val="28"/>
      <w:szCs w:val="20"/>
      <w:lang w:val="zh-CN" w:eastAsia="zh-CN"/>
    </w:rPr>
  </w:style>
  <w:style w:type="paragraph" w:styleId="1328">
    <w:name w:val="Revision"/>
    <w:next w:val="1328"/>
    <w:link w:val="1092"/>
    <w:qFormat/>
    <w:rPr>
      <w:sz w:val="21"/>
      <w:szCs w:val="24"/>
      <w:lang w:val="en-US" w:eastAsia="zh-CN" w:bidi="ar-SA"/>
    </w:rPr>
  </w:style>
  <w:style w:type="paragraph" w:styleId="1329">
    <w:name w:val="Char22"/>
    <w:basedOn w:val="1092"/>
    <w:next w:val="1329"/>
    <w:link w:val="1092"/>
    <w:qFormat/>
    <w:rPr>
      <w:rFonts w:ascii="Tahoma" w:hAnsi="Tahoma"/>
      <w:sz w:val="24"/>
      <w:szCs w:val="20"/>
    </w:rPr>
  </w:style>
  <w:style w:type="paragraph" w:styleId="1330">
    <w:name w:val="Char Char Char Char Char Char Char Char Char Char2"/>
    <w:basedOn w:val="1092"/>
    <w:next w:val="1330"/>
    <w:link w:val="1092"/>
    <w:qFormat/>
    <w:rPr>
      <w:rFonts w:ascii="宋体" w:hAnsi="宋体" w:cs="Courier New"/>
      <w:sz w:val="32"/>
      <w:szCs w:val="32"/>
    </w:rPr>
  </w:style>
  <w:style w:type="paragraph" w:styleId="1331">
    <w:name w:val="Char2 Char Char Char Char Char Char1"/>
    <w:basedOn w:val="1092"/>
    <w:next w:val="1331"/>
    <w:link w:val="1092"/>
    <w:qFormat/>
    <w:pPr>
      <w:jc w:val="center"/>
      <w:spacing w:line="400" w:lineRule="exact"/>
      <w:widowControl/>
    </w:pPr>
  </w:style>
  <w:style w:type="character" w:styleId="1332">
    <w:name w:val="页脚 Char"/>
    <w:next w:val="1332"/>
    <w:link w:val="1092"/>
    <w:qFormat/>
    <w:rPr>
      <w:rFonts w:ascii="宋体" w:eastAsia="宋体"/>
      <w:sz w:val="18"/>
      <w:lang w:val="en-US" w:eastAsia="zh-CN" w:bidi="ar-SA"/>
    </w:rPr>
  </w:style>
  <w:style w:type="paragraph" w:styleId="1333">
    <w:name w:val="Char Char41"/>
    <w:basedOn w:val="1092"/>
    <w:next w:val="1333"/>
    <w:link w:val="1092"/>
    <w:qFormat/>
    <w:pPr>
      <w:jc w:val="center"/>
      <w:spacing w:line="400" w:lineRule="exact"/>
      <w:widowControl/>
    </w:pPr>
  </w:style>
  <w:style w:type="character" w:styleId="1334">
    <w:name w:val="批注文字 Char"/>
    <w:next w:val="1334"/>
    <w:link w:val="1092"/>
    <w:uiPriority w:val="99"/>
    <w:qFormat/>
    <w:rPr>
      <w:sz w:val="21"/>
      <w:szCs w:val="24"/>
    </w:rPr>
  </w:style>
  <w:style w:type="character" w:styleId="1335">
    <w:name w:val="标题 Char"/>
    <w:next w:val="1335"/>
    <w:link w:val="1092"/>
    <w:qFormat/>
    <w:rPr>
      <w:b/>
      <w:sz w:val="32"/>
    </w:rPr>
  </w:style>
  <w:style w:type="paragraph" w:styleId="1336">
    <w:name w:val="图例"/>
    <w:basedOn w:val="1092"/>
    <w:next w:val="1336"/>
    <w:link w:val="1092"/>
    <w:qFormat/>
    <w:pPr>
      <w:jc w:val="center"/>
      <w:spacing w:before="120" w:after="120" w:line="360" w:lineRule="auto"/>
    </w:pPr>
    <w:rPr>
      <w:rFonts w:eastAsia="仿宋_GB2312"/>
      <w:b/>
      <w:sz w:val="24"/>
      <w:szCs w:val="20"/>
    </w:rPr>
  </w:style>
  <w:style w:type="table" w:styleId="1337">
    <w:name w:val="Table Normal"/>
    <w:next w:val="1337"/>
    <w:link w:val="1092"/>
    <w:uiPriority w:val="2"/>
    <w:unhideWhenUsed/>
    <w:qFormat/>
    <w:pPr>
      <w:widowControl w:val="off"/>
    </w:pPr>
    <w:rPr>
      <w:rFonts w:ascii="Calibri" w:hAnsi="Calibri"/>
      <w:sz w:val="22"/>
      <w:szCs w:val="22"/>
      <w:lang w:val="en-US" w:eastAsia="en-US" w:bidi="ar-SA"/>
    </w:rPr>
    <w:tblPr/>
  </w:style>
  <w:style w:type="paragraph" w:styleId="1338">
    <w:name w:val="Table Paragraph"/>
    <w:basedOn w:val="1092"/>
    <w:next w:val="1338"/>
    <w:link w:val="1092"/>
    <w:uiPriority w:val="1"/>
    <w:qFormat/>
    <w:pPr>
      <w:jc w:val="left"/>
    </w:pPr>
    <w:rPr>
      <w:rFonts w:ascii="宋体" w:hAnsi="宋体" w:cs="宋体"/>
      <w:sz w:val="22"/>
      <w:szCs w:val="22"/>
      <w:lang w:eastAsia="en-US"/>
    </w:rPr>
  </w:style>
  <w:style w:type="paragraph" w:styleId="1339">
    <w:name w:val="成文日期"/>
    <w:basedOn w:val="1092"/>
    <w:next w:val="1339"/>
    <w:link w:val="1340"/>
    <w:qFormat/>
    <w:pPr>
      <w:ind w:right="400" w:firstLine="200"/>
      <w:jc w:val="right"/>
      <w:spacing w:line="570" w:lineRule="exact"/>
    </w:pPr>
    <w:rPr>
      <w:rFonts w:ascii="仿宋_GB2312" w:eastAsia="仿宋_GB2312"/>
      <w:sz w:val="32"/>
      <w:szCs w:val="20"/>
    </w:rPr>
  </w:style>
  <w:style w:type="character" w:styleId="1340">
    <w:name w:val="成文日期 Char"/>
    <w:next w:val="1340"/>
    <w:link w:val="1339"/>
    <w:rPr>
      <w:rFonts w:ascii="仿宋_GB2312" w:eastAsia="仿宋_GB2312"/>
      <w:sz w:val="32"/>
    </w:rPr>
  </w:style>
  <w:style w:type="paragraph" w:styleId="1341">
    <w:name w:val="修订"/>
    <w:next w:val="1341"/>
    <w:link w:val="1092"/>
    <w:uiPriority w:val="99"/>
    <w:unhideWhenUsed/>
    <w:rPr>
      <w:sz w:val="21"/>
      <w:szCs w:val="24"/>
      <w:lang w:val="en-US" w:eastAsia="zh-CN" w:bidi="ar-SA"/>
    </w:rPr>
  </w:style>
  <w:style w:type="character" w:styleId="1342">
    <w:name w:val="正文缩进 字符"/>
    <w:next w:val="1342"/>
    <w:link w:val="1092"/>
    <w:uiPriority w:val="99"/>
    <w:qFormat/>
    <w:rPr>
      <w:rFonts w:ascii="宋体" w:hAnsi="Times New Roman" w:eastAsia="宋体" w:cs="Times New Roman"/>
      <w:sz w:val="24"/>
    </w:rPr>
  </w:style>
  <w:style w:type="character" w:styleId="1343">
    <w:name w:val="正文文本 字符"/>
    <w:next w:val="1343"/>
    <w:link w:val="1092"/>
    <w:qFormat/>
    <w:rPr>
      <w:rFonts w:ascii="宋体" w:hAnsi="宋体"/>
      <w:sz w:val="24"/>
      <w:szCs w:val="24"/>
    </w:rPr>
  </w:style>
  <w:style w:type="paragraph" w:styleId="1344">
    <w:name w:val="纯文本1"/>
    <w:next w:val="1145"/>
    <w:link w:val="1092"/>
    <w:qFormat/>
    <w:pPr>
      <w:jc w:val="both"/>
      <w:widowControl w:val="off"/>
    </w:pPr>
    <w:rPr>
      <w:rFonts w:ascii="宋体" w:hAnsi="宋体"/>
      <w:sz w:val="26"/>
      <w:szCs w:val="24"/>
      <w:lang w:val="en-US" w:eastAsia="zh-CN" w:bidi="ar-SA"/>
    </w:rPr>
  </w:style>
  <w:style w:type="paragraph" w:styleId="1345">
    <w:name w:val="AONormal"/>
    <w:next w:val="1345"/>
    <w:link w:val="1092"/>
    <w:qFormat/>
    <w:pPr>
      <w:ind w:firstLine="440"/>
      <w:spacing w:line="400" w:lineRule="exact"/>
    </w:pPr>
    <w:rPr>
      <w:rFonts w:ascii="华文楷体" w:hAnsi="华文楷体" w:eastAsia="华文楷体" w:cs="华文楷体"/>
      <w:sz w:val="22"/>
      <w:szCs w:val="21"/>
      <w:lang w:val="en-US" w:eastAsia="zh-CN" w:bidi="ar-SA"/>
    </w:rPr>
  </w:style>
  <w:style w:type="character" w:styleId="1346">
    <w:name w:val="font31"/>
    <w:basedOn w:val="1102"/>
    <w:next w:val="1346"/>
    <w:link w:val="1092"/>
    <w:qFormat/>
    <w:rPr>
      <w:rFonts w:hint="eastAsia" w:ascii="仿宋" w:hAnsi="仿宋" w:eastAsia="仿宋" w:cs="仿宋"/>
      <w:color w:val="000000"/>
      <w:sz w:val="18"/>
      <w:szCs w:val="18"/>
      <w:u w:val="none"/>
    </w:rPr>
  </w:style>
  <w:style w:type="character" w:styleId="1347" w:default="1">
    <w:name w:val="Default Paragraph Font"/>
    <w:uiPriority w:val="1"/>
    <w:semiHidden/>
    <w:unhideWhenUsed/>
  </w:style>
  <w:style w:type="numbering" w:styleId="1348" w:default="1">
    <w:name w:val="No List"/>
    <w:uiPriority w:val="99"/>
    <w:semiHidden/>
    <w:unhideWhenUsed/>
  </w:style>
  <w:style w:type="table" w:styleId="13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4.jpg"/></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8</cp:revision>
  <dcterms:created xsi:type="dcterms:W3CDTF">2022-05-30T08:08:00Z</dcterms:created>
  <dcterms:modified xsi:type="dcterms:W3CDTF">2026-05-13T00:48:59Z</dcterms:modified>
</cp:coreProperties>
</file>